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2C" w:rsidRDefault="00A601B1" w:rsidP="00B60B2C">
      <w:pPr>
        <w:spacing w:line="288" w:lineRule="auto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28575</wp:posOffset>
            </wp:positionV>
            <wp:extent cx="7486650" cy="917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0B2C">
        <w:rPr>
          <w:rFonts w:hint="eastAsia"/>
          <w:b/>
          <w:sz w:val="32"/>
          <w:szCs w:val="32"/>
        </w:rPr>
        <w:t>关于举办“全国细胞形态诊断与进展”研修班的通知</w:t>
      </w:r>
    </w:p>
    <w:p w:rsidR="00C165DD" w:rsidRPr="00B60B2C" w:rsidRDefault="00C165DD" w:rsidP="00B60B2C">
      <w:pPr>
        <w:spacing w:line="288" w:lineRule="auto"/>
        <w:jc w:val="center"/>
        <w:rPr>
          <w:sz w:val="24"/>
        </w:rPr>
      </w:pPr>
    </w:p>
    <w:p w:rsidR="00B60B2C" w:rsidRDefault="00B60B2C" w:rsidP="00B60B2C">
      <w:pPr>
        <w:spacing w:line="288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各相关医疗机构：</w:t>
      </w:r>
    </w:p>
    <w:p w:rsidR="00B60B2C" w:rsidRDefault="00B60B2C" w:rsidP="00B60B2C">
      <w:pPr>
        <w:spacing w:line="288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为了普及形态学检验诊断的知识和技术，加强和提高形态学临床检验技术水平，由</w:t>
      </w:r>
      <w:r w:rsidR="00D91A3D">
        <w:rPr>
          <w:rFonts w:hint="eastAsia"/>
          <w:sz w:val="24"/>
        </w:rPr>
        <w:t>中华医学电子音像出版社、《中华临床实验室管理电子杂志》编辑委员会</w:t>
      </w:r>
      <w:r>
        <w:rPr>
          <w:rFonts w:hint="eastAsia"/>
          <w:sz w:val="24"/>
        </w:rPr>
        <w:t>、广东省临床检验中心共同举办</w:t>
      </w:r>
      <w:r>
        <w:rPr>
          <w:rFonts w:hint="eastAsia"/>
          <w:color w:val="000000"/>
          <w:sz w:val="24"/>
        </w:rPr>
        <w:t>的“</w:t>
      </w:r>
      <w:r>
        <w:rPr>
          <w:rFonts w:hint="eastAsia"/>
          <w:sz w:val="24"/>
        </w:rPr>
        <w:t>全国细胞形态诊断与进展</w:t>
      </w:r>
      <w:r>
        <w:rPr>
          <w:rFonts w:hint="eastAsia"/>
          <w:color w:val="000000"/>
          <w:sz w:val="24"/>
        </w:rPr>
        <w:t>”研修班（项目编号：</w:t>
      </w:r>
      <w:r>
        <w:rPr>
          <w:color w:val="000000"/>
          <w:sz w:val="24"/>
        </w:rPr>
        <w:t>2016-11-00-324</w:t>
      </w:r>
      <w:r>
        <w:rPr>
          <w:rFonts w:hint="eastAsia"/>
          <w:color w:val="000000"/>
          <w:sz w:val="24"/>
        </w:rPr>
        <w:t>（国）），现定于</w:t>
      </w:r>
      <w:r>
        <w:rPr>
          <w:b/>
          <w:color w:val="000000"/>
          <w:sz w:val="24"/>
        </w:rPr>
        <w:t>2016</w:t>
      </w:r>
      <w:r>
        <w:rPr>
          <w:rFonts w:hint="eastAsia"/>
          <w:b/>
          <w:color w:val="000000"/>
          <w:sz w:val="24"/>
        </w:rPr>
        <w:t>年</w:t>
      </w:r>
      <w:r>
        <w:rPr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 w:rsidR="00F44B48">
        <w:rPr>
          <w:b/>
          <w:color w:val="000000"/>
          <w:sz w:val="24"/>
        </w:rPr>
        <w:t>8-1</w:t>
      </w:r>
      <w:r w:rsidR="00A7350D"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在广州市华泰宾馆召开。</w:t>
      </w:r>
    </w:p>
    <w:p w:rsidR="00B60B2C" w:rsidRDefault="00B60B2C" w:rsidP="00B60B2C">
      <w:pPr>
        <w:spacing w:line="288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本次研修班由中国人民解放军总医院临床检验科主任</w:t>
      </w:r>
      <w:r>
        <w:rPr>
          <w:rFonts w:hint="eastAsia"/>
          <w:b/>
          <w:color w:val="000000"/>
          <w:sz w:val="24"/>
        </w:rPr>
        <w:t>王成彬教授</w:t>
      </w:r>
      <w:r>
        <w:rPr>
          <w:rFonts w:hint="eastAsia"/>
          <w:color w:val="000000"/>
          <w:sz w:val="24"/>
        </w:rPr>
        <w:t>精心组织，邀请来自全国细胞形态学领域知名专家授课，围绕细胞形态学技术在临床实际应用过程中常见的问题、疑难点进行分析讲解和探讨，并设有</w:t>
      </w:r>
      <w:r>
        <w:rPr>
          <w:rFonts w:hint="eastAsia"/>
          <w:b/>
          <w:color w:val="000000"/>
          <w:sz w:val="24"/>
        </w:rPr>
        <w:t>读片讨论会</w:t>
      </w:r>
      <w:r>
        <w:rPr>
          <w:rFonts w:hint="eastAsia"/>
          <w:color w:val="000000"/>
          <w:sz w:val="24"/>
        </w:rPr>
        <w:t>，采用丰富的病例资料、图片等，与参会学员进行交流。欢迎广大临床检验同仁前来学习。</w:t>
      </w:r>
    </w:p>
    <w:p w:rsidR="00B60B2C" w:rsidRDefault="00B60B2C" w:rsidP="00B60B2C">
      <w:pPr>
        <w:spacing w:line="288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现将有关事宜通知如下：</w:t>
      </w:r>
    </w:p>
    <w:p w:rsidR="00B60B2C" w:rsidRDefault="00B60B2C" w:rsidP="00B60B2C">
      <w:pPr>
        <w:spacing w:line="288" w:lineRule="auto"/>
        <w:ind w:firstLineChars="177" w:firstLine="42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一、会议时间：</w:t>
      </w:r>
      <w:r>
        <w:rPr>
          <w:color w:val="000000"/>
          <w:sz w:val="24"/>
        </w:rPr>
        <w:t>2016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 w:rsidR="00F44B48">
        <w:rPr>
          <w:color w:val="000000"/>
          <w:sz w:val="24"/>
        </w:rPr>
        <w:t>8-1</w:t>
      </w:r>
      <w:r w:rsidR="00A7350D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日（</w:t>
      </w:r>
      <w:r>
        <w:rPr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日全天报到，</w:t>
      </w:r>
      <w:r w:rsidR="00F44B48">
        <w:rPr>
          <w:color w:val="000000"/>
          <w:sz w:val="24"/>
        </w:rPr>
        <w:t>1</w:t>
      </w:r>
      <w:r w:rsidR="00A7350D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12:00</w:t>
      </w:r>
      <w:r>
        <w:rPr>
          <w:rFonts w:hint="eastAsia"/>
          <w:color w:val="000000"/>
          <w:sz w:val="24"/>
        </w:rPr>
        <w:t>前撤离）</w:t>
      </w:r>
    </w:p>
    <w:p w:rsidR="00B60B2C" w:rsidRDefault="00B60B2C" w:rsidP="00B60B2C">
      <w:pPr>
        <w:spacing w:line="288" w:lineRule="auto"/>
        <w:ind w:firstLineChars="177" w:firstLine="42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sz w:val="24"/>
        </w:rPr>
        <w:t>会议地点：广州市华泰宾馆</w:t>
      </w:r>
    </w:p>
    <w:p w:rsidR="00B60B2C" w:rsidRDefault="00B60B2C" w:rsidP="00B60B2C">
      <w:pPr>
        <w:spacing w:line="288" w:lineRule="auto"/>
        <w:ind w:firstLineChars="777" w:firstLine="1865"/>
        <w:rPr>
          <w:sz w:val="24"/>
        </w:rPr>
      </w:pPr>
      <w:r>
        <w:rPr>
          <w:rFonts w:hint="eastAsia"/>
          <w:sz w:val="24"/>
        </w:rPr>
        <w:t>（广州市先烈南路</w:t>
      </w:r>
      <w:r>
        <w:rPr>
          <w:sz w:val="24"/>
        </w:rPr>
        <w:t>23</w:t>
      </w:r>
      <w:r>
        <w:rPr>
          <w:rFonts w:hint="eastAsia"/>
          <w:sz w:val="24"/>
        </w:rPr>
        <w:t>号，宾馆电话：</w:t>
      </w:r>
      <w:r>
        <w:rPr>
          <w:sz w:val="24"/>
        </w:rPr>
        <w:t>020-87789888</w:t>
      </w:r>
      <w:r>
        <w:rPr>
          <w:rFonts w:hint="eastAsia"/>
          <w:sz w:val="24"/>
        </w:rPr>
        <w:t>）。</w:t>
      </w:r>
    </w:p>
    <w:p w:rsidR="00B60B2C" w:rsidRDefault="00B60B2C" w:rsidP="00B60B2C">
      <w:pPr>
        <w:spacing w:line="288" w:lineRule="auto"/>
        <w:ind w:leftChars="202" w:left="904" w:hangingChars="200" w:hanging="480"/>
        <w:rPr>
          <w:sz w:val="24"/>
        </w:rPr>
      </w:pPr>
      <w:r>
        <w:rPr>
          <w:rFonts w:hint="eastAsia"/>
          <w:sz w:val="24"/>
        </w:rPr>
        <w:t>三、会议费用：会务费：</w:t>
      </w:r>
      <w:r>
        <w:rPr>
          <w:sz w:val="24"/>
        </w:rPr>
        <w:t>600</w:t>
      </w:r>
      <w:r>
        <w:rPr>
          <w:rFonts w:hint="eastAsia"/>
          <w:sz w:val="24"/>
        </w:rPr>
        <w:t>元（含培训资料费及餐费）。</w:t>
      </w:r>
    </w:p>
    <w:p w:rsidR="00B60B2C" w:rsidRDefault="00B60B2C" w:rsidP="00B60B2C">
      <w:pPr>
        <w:spacing w:line="288" w:lineRule="auto"/>
        <w:ind w:leftChars="852" w:left="1789"/>
        <w:rPr>
          <w:sz w:val="24"/>
        </w:rPr>
      </w:pPr>
      <w:r>
        <w:rPr>
          <w:rFonts w:hint="eastAsia"/>
          <w:sz w:val="24"/>
        </w:rPr>
        <w:t>住宿费：标准有三种：</w:t>
      </w:r>
      <w:r>
        <w:rPr>
          <w:sz w:val="24"/>
        </w:rPr>
        <w:t>120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  <w:r>
        <w:rPr>
          <w:sz w:val="24"/>
        </w:rPr>
        <w:t>/</w:t>
      </w:r>
      <w:r>
        <w:rPr>
          <w:rFonts w:hint="eastAsia"/>
          <w:sz w:val="24"/>
        </w:rPr>
        <w:t>天、</w:t>
      </w:r>
      <w:r>
        <w:rPr>
          <w:sz w:val="24"/>
        </w:rPr>
        <w:t>130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  <w:r>
        <w:rPr>
          <w:sz w:val="24"/>
        </w:rPr>
        <w:t>/</w:t>
      </w:r>
      <w:r>
        <w:rPr>
          <w:rFonts w:hint="eastAsia"/>
          <w:sz w:val="24"/>
        </w:rPr>
        <w:t>天和</w:t>
      </w:r>
      <w:r>
        <w:rPr>
          <w:sz w:val="24"/>
        </w:rPr>
        <w:t>160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  <w:r>
        <w:rPr>
          <w:sz w:val="24"/>
        </w:rPr>
        <w:t>/</w:t>
      </w:r>
      <w:r>
        <w:rPr>
          <w:rFonts w:hint="eastAsia"/>
          <w:sz w:val="24"/>
        </w:rPr>
        <w:t>天。研修班统一包房，免收空房费，需住宿的代表支付</w:t>
      </w:r>
      <w:r w:rsidR="00A7350D">
        <w:rPr>
          <w:rFonts w:hint="eastAsia"/>
          <w:sz w:val="24"/>
        </w:rPr>
        <w:t>3</w:t>
      </w:r>
      <w:r>
        <w:rPr>
          <w:rFonts w:hint="eastAsia"/>
          <w:sz w:val="24"/>
        </w:rPr>
        <w:t>天住宿费。</w:t>
      </w:r>
    </w:p>
    <w:p w:rsidR="00B60B2C" w:rsidRDefault="00B60B2C" w:rsidP="00B60B2C">
      <w:pPr>
        <w:spacing w:line="288" w:lineRule="auto"/>
        <w:ind w:leftChars="402" w:left="844" w:firstLineChars="50" w:firstLine="120"/>
        <w:rPr>
          <w:sz w:val="24"/>
        </w:rPr>
      </w:pPr>
      <w:r>
        <w:rPr>
          <w:rFonts w:hint="eastAsia"/>
          <w:sz w:val="24"/>
        </w:rPr>
        <w:t>所有费用需自理，回单位报销。</w:t>
      </w:r>
    </w:p>
    <w:p w:rsidR="00B60B2C" w:rsidRDefault="00B60B2C" w:rsidP="00B60B2C">
      <w:pPr>
        <w:spacing w:line="288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四、发票开具：会务费发票由中华医学电子音像出版社开具；住宿发票由广州市华泰宾馆开具。</w:t>
      </w:r>
    </w:p>
    <w:p w:rsidR="00B60B2C" w:rsidRDefault="00B60B2C" w:rsidP="00B60B2C">
      <w:pPr>
        <w:spacing w:line="28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五、学分授予：</w:t>
      </w:r>
      <w:r>
        <w:rPr>
          <w:rFonts w:ascii="宋体" w:hAnsi="宋体" w:hint="eastAsia"/>
          <w:color w:val="000000"/>
          <w:sz w:val="24"/>
        </w:rPr>
        <w:t>研修班结束后</w:t>
      </w:r>
      <w:r>
        <w:rPr>
          <w:rFonts w:hint="eastAsia"/>
          <w:sz w:val="24"/>
        </w:rPr>
        <w:t>将授予学员国家级</w:t>
      </w:r>
      <w:r>
        <w:rPr>
          <w:sz w:val="24"/>
        </w:rPr>
        <w:t>I</w:t>
      </w:r>
      <w:r>
        <w:rPr>
          <w:rFonts w:hint="eastAsia"/>
          <w:sz w:val="24"/>
        </w:rPr>
        <w:t>类学分</w:t>
      </w:r>
      <w:r>
        <w:rPr>
          <w:sz w:val="24"/>
        </w:rPr>
        <w:t>6</w:t>
      </w:r>
      <w:r>
        <w:rPr>
          <w:rFonts w:hint="eastAsia"/>
          <w:sz w:val="24"/>
        </w:rPr>
        <w:t>分</w:t>
      </w:r>
      <w:r>
        <w:rPr>
          <w:rFonts w:ascii="宋体" w:hAnsi="宋体" w:hint="eastAsia"/>
          <w:color w:val="000000"/>
          <w:sz w:val="24"/>
        </w:rPr>
        <w:t>。</w:t>
      </w:r>
    </w:p>
    <w:p w:rsidR="00B60B2C" w:rsidRDefault="00B60B2C" w:rsidP="00B60B2C">
      <w:pPr>
        <w:spacing w:line="28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六、联系人及联系方式：</w:t>
      </w:r>
    </w:p>
    <w:p w:rsidR="00B60B2C" w:rsidRDefault="00B60B2C" w:rsidP="00B60B2C">
      <w:pPr>
        <w:spacing w:line="288" w:lineRule="auto"/>
        <w:ind w:firstLineChars="377" w:firstLine="9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广东省临床检验中心（广州市越秀区惠福西路进步里2号3楼）</w:t>
      </w:r>
    </w:p>
    <w:p w:rsidR="00B60B2C" w:rsidRDefault="00B60B2C" w:rsidP="00B60B2C">
      <w:pPr>
        <w:spacing w:line="288" w:lineRule="auto"/>
        <w:ind w:firstLineChars="377" w:firstLine="9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陈智峰老师  电话：020-81922518  传真：020-81881055</w:t>
      </w:r>
    </w:p>
    <w:p w:rsidR="00B60B2C" w:rsidRDefault="00B60B2C" w:rsidP="00B60B2C">
      <w:pPr>
        <w:spacing w:line="288" w:lineRule="auto"/>
        <w:ind w:firstLineChars="377" w:firstLine="905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《中华临床实验室管理电子杂志》编辑部</w:t>
      </w:r>
      <w:r>
        <w:rPr>
          <w:rFonts w:ascii="宋体" w:hAnsi="宋体" w:hint="eastAsia"/>
          <w:color w:val="000000"/>
          <w:sz w:val="24"/>
        </w:rPr>
        <w:t>陈南老师  电话：13570378653</w:t>
      </w:r>
    </w:p>
    <w:p w:rsidR="00B60B2C" w:rsidRDefault="00B60B2C" w:rsidP="00B60B2C">
      <w:pPr>
        <w:spacing w:line="288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七、报名方式：</w:t>
      </w:r>
    </w:p>
    <w:p w:rsidR="00B60B2C" w:rsidRDefault="00B60B2C" w:rsidP="00B60B2C">
      <w:pPr>
        <w:spacing w:line="30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因培训安排所需，请参会代表务必于</w:t>
      </w:r>
      <w:r>
        <w:rPr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30</w:t>
      </w:r>
      <w:r>
        <w:rPr>
          <w:rFonts w:hint="eastAsia"/>
          <w:sz w:val="24"/>
        </w:rPr>
        <w:t>日前通过以下方式报名：（</w:t>
      </w:r>
      <w:r>
        <w:rPr>
          <w:sz w:val="24"/>
        </w:rPr>
        <w:t>1</w:t>
      </w:r>
      <w:r>
        <w:rPr>
          <w:rFonts w:hint="eastAsia"/>
          <w:sz w:val="24"/>
        </w:rPr>
        <w:t>）网上报名：</w:t>
      </w:r>
      <w:r>
        <w:rPr>
          <w:sz w:val="24"/>
        </w:rPr>
        <w:t>gdccl.clinet.com.cn</w:t>
      </w:r>
      <w:r>
        <w:rPr>
          <w:rFonts w:hint="eastAsia"/>
          <w:sz w:val="24"/>
        </w:rPr>
        <w:t>；（</w:t>
      </w:r>
      <w:r>
        <w:rPr>
          <w:sz w:val="24"/>
        </w:rPr>
        <w:t>2</w:t>
      </w:r>
      <w:r>
        <w:rPr>
          <w:rFonts w:hint="eastAsia"/>
          <w:sz w:val="24"/>
        </w:rPr>
        <w:t>）邮寄、传真、电话报名。</w:t>
      </w:r>
    </w:p>
    <w:p w:rsidR="00720A21" w:rsidRDefault="00A601B1" w:rsidP="00720A21">
      <w:pPr>
        <w:spacing w:line="300" w:lineRule="auto"/>
        <w:ind w:right="96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9097010</wp:posOffset>
            </wp:positionV>
            <wp:extent cx="7541260" cy="780415"/>
            <wp:effectExtent l="0" t="0" r="254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9097010</wp:posOffset>
            </wp:positionV>
            <wp:extent cx="7541260" cy="780415"/>
            <wp:effectExtent l="0" t="0" r="254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0A21" w:rsidRDefault="00720A21" w:rsidP="00720A21">
      <w:pPr>
        <w:spacing w:line="300" w:lineRule="auto"/>
        <w:ind w:right="960"/>
        <w:rPr>
          <w:sz w:val="24"/>
        </w:rPr>
      </w:pPr>
    </w:p>
    <w:p w:rsidR="00720A21" w:rsidRDefault="00B60B2C" w:rsidP="00F44B48">
      <w:pPr>
        <w:spacing w:line="300" w:lineRule="auto"/>
        <w:ind w:right="107" w:firstLineChars="100" w:firstLine="241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中华医学电子音像</w:t>
      </w:r>
      <w:r w:rsidR="002567B0">
        <w:rPr>
          <w:rFonts w:hint="eastAsia"/>
          <w:b/>
          <w:color w:val="000000"/>
          <w:sz w:val="24"/>
        </w:rPr>
        <w:t>出版社</w:t>
      </w:r>
      <w:r w:rsidR="00720A21">
        <w:rPr>
          <w:rFonts w:hint="eastAsia"/>
          <w:b/>
          <w:color w:val="000000"/>
          <w:sz w:val="24"/>
        </w:rPr>
        <w:t>中华临床实验室管理</w:t>
      </w:r>
      <w:r w:rsidR="002567B0">
        <w:rPr>
          <w:rFonts w:hint="eastAsia"/>
          <w:b/>
          <w:color w:val="000000"/>
          <w:sz w:val="24"/>
        </w:rPr>
        <w:t>电子杂志</w:t>
      </w:r>
      <w:r w:rsidR="00720A21">
        <w:rPr>
          <w:rFonts w:hint="eastAsia"/>
          <w:b/>
          <w:color w:val="000000"/>
          <w:sz w:val="24"/>
        </w:rPr>
        <w:t>广东省临床检验中心</w:t>
      </w:r>
    </w:p>
    <w:p w:rsidR="00B60B2C" w:rsidRDefault="002567B0" w:rsidP="002567B0">
      <w:pPr>
        <w:spacing w:line="300" w:lineRule="auto"/>
        <w:ind w:right="960" w:firstLineChars="500" w:firstLine="1205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编辑委员</w:t>
      </w:r>
      <w:r w:rsidR="00720A21">
        <w:rPr>
          <w:rFonts w:hint="eastAsia"/>
          <w:b/>
          <w:color w:val="000000"/>
          <w:sz w:val="24"/>
        </w:rPr>
        <w:t>会</w:t>
      </w:r>
    </w:p>
    <w:p w:rsidR="00B60B2C" w:rsidRDefault="00B60B2C" w:rsidP="001B08AF">
      <w:pPr>
        <w:wordWrap w:val="0"/>
        <w:spacing w:line="300" w:lineRule="auto"/>
        <w:ind w:leftChars="100" w:left="210" w:right="120" w:firstLineChars="150" w:firstLine="315"/>
        <w:jc w:val="right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9848850</wp:posOffset>
            </wp:positionV>
            <wp:extent cx="7543800" cy="781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B2C" w:rsidRDefault="00B60B2C" w:rsidP="00C165DD">
      <w:pPr>
        <w:pStyle w:val="a3"/>
        <w:spacing w:line="300" w:lineRule="auto"/>
        <w:ind w:right="1022" w:firstLineChars="2450" w:firstLine="590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2016</w:t>
      </w:r>
      <w:r>
        <w:rPr>
          <w:rFonts w:hint="eastAsia"/>
          <w:b/>
          <w:color w:val="000000"/>
          <w:sz w:val="24"/>
          <w:szCs w:val="24"/>
        </w:rPr>
        <w:t>年</w:t>
      </w:r>
      <w:r>
        <w:rPr>
          <w:b/>
          <w:color w:val="000000"/>
          <w:sz w:val="24"/>
          <w:szCs w:val="24"/>
        </w:rPr>
        <w:t>10</w:t>
      </w:r>
      <w:r>
        <w:rPr>
          <w:rFonts w:hint="eastAsia"/>
          <w:b/>
          <w:color w:val="000000"/>
          <w:sz w:val="24"/>
          <w:szCs w:val="24"/>
        </w:rPr>
        <w:t>月</w:t>
      </w:r>
      <w:r>
        <w:rPr>
          <w:b/>
          <w:color w:val="000000"/>
          <w:sz w:val="24"/>
          <w:szCs w:val="24"/>
        </w:rPr>
        <w:t>20</w:t>
      </w:r>
      <w:r>
        <w:rPr>
          <w:rFonts w:hint="eastAsia"/>
          <w:b/>
          <w:color w:val="000000"/>
          <w:sz w:val="24"/>
          <w:szCs w:val="24"/>
        </w:rPr>
        <w:t>日</w:t>
      </w:r>
    </w:p>
    <w:p w:rsidR="0025180E" w:rsidRDefault="00A601B1" w:rsidP="00A601B1">
      <w:pPr>
        <w:pStyle w:val="a3"/>
        <w:spacing w:line="300" w:lineRule="auto"/>
        <w:ind w:right="1022" w:firstLineChars="2450" w:firstLine="5880"/>
        <w:jc w:val="right"/>
        <w:rPr>
          <w:b/>
          <w:color w:val="000000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281305</wp:posOffset>
            </wp:positionV>
            <wp:extent cx="7552690" cy="790575"/>
            <wp:effectExtent l="0" t="0" r="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9877425</wp:posOffset>
            </wp:positionV>
            <wp:extent cx="7541260" cy="780415"/>
            <wp:effectExtent l="0" t="0" r="254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B2C" w:rsidRDefault="00A601B1" w:rsidP="00B60B2C">
      <w:pPr>
        <w:pStyle w:val="a3"/>
        <w:spacing w:line="300" w:lineRule="auto"/>
        <w:ind w:right="480"/>
        <w:rPr>
          <w:b/>
          <w:color w:val="000000"/>
          <w:sz w:val="24"/>
          <w:szCs w:val="24"/>
        </w:rPr>
      </w:pPr>
      <w:r>
        <w:rPr>
          <w:rFonts w:hint="eastAsi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28575</wp:posOffset>
            </wp:positionV>
            <wp:extent cx="7486650" cy="91757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0B2C">
        <w:rPr>
          <w:rFonts w:hint="eastAsia"/>
          <w:b/>
          <w:color w:val="000000"/>
          <w:sz w:val="24"/>
          <w:szCs w:val="24"/>
        </w:rPr>
        <w:t>附</w:t>
      </w:r>
      <w:r w:rsidR="00B60B2C">
        <w:rPr>
          <w:b/>
          <w:color w:val="000000"/>
          <w:sz w:val="24"/>
          <w:szCs w:val="24"/>
        </w:rPr>
        <w:t>1</w:t>
      </w:r>
      <w:r w:rsidR="00B60B2C">
        <w:rPr>
          <w:rFonts w:hint="eastAsia"/>
          <w:b/>
          <w:color w:val="000000"/>
          <w:sz w:val="24"/>
          <w:szCs w:val="24"/>
        </w:rPr>
        <w:t>：会议主要议题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201"/>
        <w:gridCol w:w="2397"/>
      </w:tblGrid>
      <w:tr w:rsidR="00B60B2C" w:rsidTr="00B60B2C">
        <w:trPr>
          <w:trHeight w:val="3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主要议题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 w:rsidR="00B60B2C" w:rsidTr="00B60B2C">
        <w:trPr>
          <w:trHeight w:val="325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一、血液、骨髓细胞形态学</w:t>
            </w:r>
          </w:p>
        </w:tc>
      </w:tr>
      <w:tr w:rsidR="00B60B2C" w:rsidTr="00B60B2C">
        <w:trPr>
          <w:trHeight w:val="3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血细胞分析复检规则及临床应用中的经验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乐家新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解放军</w:t>
            </w:r>
            <w:r>
              <w:rPr>
                <w:sz w:val="24"/>
              </w:rPr>
              <w:t>301</w:t>
            </w:r>
            <w:r>
              <w:rPr>
                <w:rFonts w:hint="eastAsia"/>
                <w:sz w:val="24"/>
              </w:rPr>
              <w:t>医院</w:t>
            </w:r>
          </w:p>
        </w:tc>
      </w:tr>
      <w:tr w:rsidR="00B60B2C" w:rsidTr="00B60B2C">
        <w:trPr>
          <w:trHeight w:val="6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外周血细胞形态分析在疾病诊断和鉴别诊断中的应用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张炳昌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山东省人民医院</w:t>
            </w:r>
          </w:p>
        </w:tc>
      </w:tr>
      <w:tr w:rsidR="00B60B2C" w:rsidTr="00B60B2C">
        <w:trPr>
          <w:trHeight w:val="6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骨髓细胞形态分析在疾病诊断和鉴别诊断中的应用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童春容</w:t>
            </w:r>
            <w:r>
              <w:rPr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汝昆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河北陆道培医院</w:t>
            </w:r>
            <w:r>
              <w:rPr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天津血液病医院</w:t>
            </w:r>
          </w:p>
        </w:tc>
      </w:tr>
      <w:tr w:rsidR="00B60B2C" w:rsidTr="00B60B2C">
        <w:trPr>
          <w:trHeight w:val="6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快速流式细胞术在血细胞分析中的应用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屈晨雪</w:t>
            </w:r>
            <w:r>
              <w:rPr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童春容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北京大学第一医院</w:t>
            </w:r>
            <w:r>
              <w:rPr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河北陆道培医院</w:t>
            </w:r>
          </w:p>
        </w:tc>
      </w:tr>
      <w:tr w:rsidR="00B60B2C" w:rsidTr="00B60B2C">
        <w:trPr>
          <w:trHeight w:val="6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读片讨论会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屈晨雪、童春容、汝昆、张炳昌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rPr>
                <w:sz w:val="24"/>
              </w:rPr>
            </w:pPr>
          </w:p>
        </w:tc>
      </w:tr>
      <w:tr w:rsidR="00B60B2C" w:rsidTr="00B60B2C">
        <w:trPr>
          <w:trHeight w:val="377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二、尿液、胸腹水、脑脊液细胞形态学</w:t>
            </w:r>
          </w:p>
        </w:tc>
      </w:tr>
      <w:tr w:rsidR="00B60B2C" w:rsidTr="00B60B2C">
        <w:trPr>
          <w:trHeight w:val="36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尿液有形成分检查技术及标准解读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马骏龙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解放军总医院</w:t>
            </w:r>
          </w:p>
        </w:tc>
      </w:tr>
      <w:tr w:rsidR="00B60B2C" w:rsidTr="00B60B2C">
        <w:trPr>
          <w:trHeight w:val="4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尿液有形成分形态学识别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张时民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北京协和医院</w:t>
            </w:r>
          </w:p>
        </w:tc>
      </w:tr>
      <w:tr w:rsidR="00B60B2C" w:rsidTr="00B60B2C">
        <w:trPr>
          <w:trHeight w:val="3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胸腹水有形成分形态学检查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周道银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上海长海医院</w:t>
            </w:r>
          </w:p>
        </w:tc>
      </w:tr>
      <w:tr w:rsidR="00B60B2C" w:rsidTr="00B60B2C">
        <w:trPr>
          <w:trHeight w:val="31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脑脊液有形成分形态学检查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许绍强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广州三九脑科医院</w:t>
            </w:r>
          </w:p>
        </w:tc>
      </w:tr>
      <w:tr w:rsidR="00B60B2C" w:rsidTr="00B60B2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读片讨论会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马骏龙、张时民、周道银、许绍强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rPr>
                <w:sz w:val="24"/>
              </w:rPr>
            </w:pPr>
          </w:p>
        </w:tc>
      </w:tr>
      <w:tr w:rsidR="00B60B2C" w:rsidTr="00B60B2C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三、粪便、寄生虫细胞形态学</w:t>
            </w:r>
          </w:p>
        </w:tc>
      </w:tr>
      <w:tr w:rsidR="00B60B2C" w:rsidTr="00B60B2C">
        <w:trPr>
          <w:trHeight w:val="4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粪便有形成分形态学检查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余新炳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中山大学</w:t>
            </w:r>
          </w:p>
        </w:tc>
      </w:tr>
      <w:tr w:rsidR="00B60B2C" w:rsidTr="00B60B2C">
        <w:trPr>
          <w:trHeight w:val="4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粪便有形成分分析仪检测技术及进展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陈要朋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解放军</w:t>
            </w:r>
            <w:r>
              <w:rPr>
                <w:sz w:val="24"/>
              </w:rPr>
              <w:t>303</w:t>
            </w:r>
            <w:r>
              <w:rPr>
                <w:rFonts w:hint="eastAsia"/>
                <w:sz w:val="24"/>
              </w:rPr>
              <w:t>医院</w:t>
            </w:r>
          </w:p>
        </w:tc>
      </w:tr>
      <w:tr w:rsidR="00B60B2C" w:rsidTr="00B60B2C">
        <w:trPr>
          <w:trHeight w:val="4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读片讨论会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jc w:val="center"/>
            </w:pPr>
            <w:r>
              <w:rPr>
                <w:rFonts w:hint="eastAsia"/>
                <w:sz w:val="24"/>
              </w:rPr>
              <w:t>余新炳、陈要朋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jc w:val="center"/>
            </w:pPr>
          </w:p>
        </w:tc>
      </w:tr>
    </w:tbl>
    <w:p w:rsidR="00B60B2C" w:rsidRDefault="00B60B2C" w:rsidP="00B60B2C"/>
    <w:p w:rsidR="00B60B2C" w:rsidRDefault="00B60B2C" w:rsidP="00B60B2C">
      <w:pPr>
        <w:spacing w:line="276" w:lineRule="auto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附</w:t>
      </w:r>
      <w:r>
        <w:rPr>
          <w:b/>
          <w:sz w:val="28"/>
          <w:szCs w:val="36"/>
        </w:rPr>
        <w:t>2</w:t>
      </w:r>
      <w:r>
        <w:rPr>
          <w:rFonts w:hint="eastAsia"/>
          <w:b/>
          <w:sz w:val="28"/>
          <w:szCs w:val="36"/>
        </w:rPr>
        <w:t>：参会回执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  <w:gridCol w:w="2304"/>
        <w:gridCol w:w="2304"/>
      </w:tblGrid>
      <w:tr w:rsidR="00B60B2C" w:rsidTr="00B60B2C">
        <w:trPr>
          <w:trHeight w:val="4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单位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</w:tr>
      <w:tr w:rsidR="00B60B2C" w:rsidTr="00B60B2C">
        <w:trPr>
          <w:trHeight w:val="4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科室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职务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</w:tr>
      <w:tr w:rsidR="00B60B2C" w:rsidTr="00B60B2C">
        <w:trPr>
          <w:trHeight w:val="4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性别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</w:tr>
      <w:tr w:rsidR="00B60B2C" w:rsidTr="00B60B2C">
        <w:trPr>
          <w:trHeight w:val="4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手机号码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</w:p>
        </w:tc>
      </w:tr>
      <w:tr w:rsidR="00B60B2C" w:rsidTr="00B60B2C">
        <w:trPr>
          <w:trHeight w:val="4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会务费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2C" w:rsidRDefault="00B60B2C">
            <w:pPr>
              <w:spacing w:line="276" w:lineRule="auto"/>
              <w:jc w:val="left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提前缴费（汇款）：</w:t>
            </w:r>
            <w:r>
              <w:rPr>
                <w:rFonts w:ascii="宋体" w:hAnsi="宋体" w:hint="eastAsia"/>
                <w:b/>
                <w:sz w:val="22"/>
                <w:szCs w:val="28"/>
              </w:rPr>
              <w:t xml:space="preserve">□ </w:t>
            </w:r>
            <w:r>
              <w:rPr>
                <w:rFonts w:hint="eastAsia"/>
                <w:b/>
                <w:sz w:val="22"/>
                <w:szCs w:val="28"/>
              </w:rPr>
              <w:t>是</w:t>
            </w:r>
            <w:r>
              <w:rPr>
                <w:rFonts w:ascii="宋体" w:hAnsi="宋体" w:hint="eastAsia"/>
                <w:b/>
                <w:sz w:val="22"/>
                <w:szCs w:val="28"/>
              </w:rPr>
              <w:t xml:space="preserve">□ </w:t>
            </w:r>
            <w:r>
              <w:rPr>
                <w:rFonts w:hint="eastAsia"/>
                <w:b/>
                <w:sz w:val="22"/>
                <w:szCs w:val="28"/>
              </w:rPr>
              <w:t>否</w:t>
            </w:r>
          </w:p>
          <w:p w:rsidR="00B60B2C" w:rsidRDefault="00B60B2C">
            <w:pPr>
              <w:spacing w:line="276" w:lineRule="auto"/>
              <w:jc w:val="left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现场缴费：</w:t>
            </w:r>
            <w:r>
              <w:rPr>
                <w:rFonts w:ascii="宋体" w:hAnsi="宋体" w:hint="eastAsia"/>
                <w:b/>
                <w:sz w:val="22"/>
                <w:szCs w:val="28"/>
              </w:rPr>
              <w:t xml:space="preserve">□ </w:t>
            </w:r>
            <w:r>
              <w:rPr>
                <w:rFonts w:hint="eastAsia"/>
                <w:b/>
                <w:sz w:val="22"/>
                <w:szCs w:val="28"/>
              </w:rPr>
              <w:t>现金</w:t>
            </w:r>
            <w:r>
              <w:rPr>
                <w:rFonts w:ascii="宋体" w:hAnsi="宋体" w:hint="eastAsia"/>
                <w:b/>
                <w:sz w:val="22"/>
                <w:szCs w:val="28"/>
              </w:rPr>
              <w:t>□</w:t>
            </w:r>
            <w:r>
              <w:rPr>
                <w:rFonts w:hint="eastAsia"/>
                <w:b/>
                <w:sz w:val="22"/>
                <w:szCs w:val="28"/>
              </w:rPr>
              <w:t>刷卡</w:t>
            </w:r>
          </w:p>
        </w:tc>
      </w:tr>
    </w:tbl>
    <w:p w:rsidR="00B60B2C" w:rsidRDefault="00B60B2C" w:rsidP="00B60B2C">
      <w:pPr>
        <w:spacing w:line="276" w:lineRule="auto"/>
        <w:rPr>
          <w:rFonts w:ascii="宋体" w:hAnsi="宋体"/>
          <w:b/>
          <w:sz w:val="22"/>
          <w:szCs w:val="28"/>
        </w:rPr>
      </w:pPr>
      <w:r>
        <w:rPr>
          <w:rFonts w:ascii="宋体" w:hAnsi="宋体" w:hint="eastAsia"/>
          <w:b/>
          <w:sz w:val="22"/>
          <w:szCs w:val="28"/>
        </w:rPr>
        <w:t>※请务必于11月30日前通过以下方式报名：（1）网上报名：gdccl.clinet.com.cn；（2）邮寄、传真、电话报名。</w:t>
      </w:r>
    </w:p>
    <w:p w:rsidR="00B60B2C" w:rsidRDefault="00B60B2C" w:rsidP="00B60B2C">
      <w:pPr>
        <w:spacing w:line="276" w:lineRule="auto"/>
        <w:rPr>
          <w:rFonts w:ascii="宋体" w:hAnsi="宋体"/>
          <w:b/>
          <w:sz w:val="22"/>
          <w:szCs w:val="28"/>
        </w:rPr>
      </w:pPr>
      <w:r>
        <w:rPr>
          <w:rFonts w:ascii="宋体" w:hAnsi="宋体" w:hint="eastAsia"/>
          <w:b/>
          <w:sz w:val="22"/>
          <w:szCs w:val="28"/>
        </w:rPr>
        <w:t>汇款账户：</w:t>
      </w:r>
    </w:p>
    <w:p w:rsidR="00B60B2C" w:rsidRDefault="00B60B2C" w:rsidP="00B60B2C">
      <w:pPr>
        <w:spacing w:line="276" w:lineRule="auto"/>
        <w:ind w:firstLineChars="193" w:firstLine="425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sz w:val="22"/>
          <w:szCs w:val="28"/>
        </w:rPr>
        <w:t>开户行：中国工商银行北京分行东四支行</w:t>
      </w:r>
    </w:p>
    <w:p w:rsidR="00B60B2C" w:rsidRDefault="00B60B2C" w:rsidP="00B60B2C">
      <w:pPr>
        <w:spacing w:line="276" w:lineRule="auto"/>
        <w:ind w:firstLineChars="193" w:firstLine="425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sz w:val="22"/>
          <w:szCs w:val="28"/>
        </w:rPr>
        <w:t>户  名：中华医学电子音像出版社有限责任公司</w:t>
      </w:r>
    </w:p>
    <w:p w:rsidR="00C165DD" w:rsidRPr="00C165DD" w:rsidRDefault="00A601B1" w:rsidP="00A601B1">
      <w:pPr>
        <w:spacing w:line="276" w:lineRule="auto"/>
        <w:ind w:firstLineChars="193" w:firstLine="463"/>
        <w:rPr>
          <w:rFonts w:ascii="宋体" w:hAnsi="宋体"/>
          <w:sz w:val="22"/>
          <w:szCs w:val="28"/>
        </w:rPr>
      </w:pPr>
      <w:bookmarkStart w:id="0" w:name="_GoBack"/>
      <w:r>
        <w:rPr>
          <w:noProof/>
          <w:sz w:val="24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-659032</wp:posOffset>
            </wp:positionH>
            <wp:positionV relativeFrom="paragraph">
              <wp:posOffset>240665</wp:posOffset>
            </wp:positionV>
            <wp:extent cx="7552690" cy="790575"/>
            <wp:effectExtent l="0" t="0" r="0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B60B2C">
        <w:rPr>
          <w:rFonts w:ascii="宋体" w:hAnsi="宋体" w:hint="eastAsia"/>
          <w:sz w:val="22"/>
          <w:szCs w:val="28"/>
        </w:rPr>
        <w:t>账  号：0200 0041 0900 4621 996</w:t>
      </w:r>
      <w:r w:rsidR="00C165DD" w:rsidRPr="00C165DD">
        <w:rPr>
          <w:rFonts w:ascii="宋体" w:hAnsi="宋体" w:hint="eastAsia"/>
          <w:b/>
          <w:sz w:val="22"/>
          <w:szCs w:val="28"/>
        </w:rPr>
        <w:t>（汇款请注明：细胞形态学会议+姓名+医院）</w:t>
      </w:r>
    </w:p>
    <w:sectPr w:rsidR="00C165DD" w:rsidRPr="00C165DD" w:rsidSect="00C165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6BC" w:rsidRDefault="007376BC" w:rsidP="00A601B1">
      <w:r>
        <w:separator/>
      </w:r>
    </w:p>
  </w:endnote>
  <w:endnote w:type="continuationSeparator" w:id="1">
    <w:p w:rsidR="007376BC" w:rsidRDefault="007376BC" w:rsidP="00A6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6BC" w:rsidRDefault="007376BC" w:rsidP="00A601B1">
      <w:r>
        <w:separator/>
      </w:r>
    </w:p>
  </w:footnote>
  <w:footnote w:type="continuationSeparator" w:id="1">
    <w:p w:rsidR="007376BC" w:rsidRDefault="007376BC" w:rsidP="00A60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6F4"/>
    <w:rsid w:val="00181E7B"/>
    <w:rsid w:val="001B08AF"/>
    <w:rsid w:val="0025180E"/>
    <w:rsid w:val="002567B0"/>
    <w:rsid w:val="005266F4"/>
    <w:rsid w:val="006F7EC7"/>
    <w:rsid w:val="00720A21"/>
    <w:rsid w:val="00721FCE"/>
    <w:rsid w:val="007376BC"/>
    <w:rsid w:val="00830A65"/>
    <w:rsid w:val="00A601B1"/>
    <w:rsid w:val="00A7350D"/>
    <w:rsid w:val="00B60B2C"/>
    <w:rsid w:val="00C165DD"/>
    <w:rsid w:val="00C54607"/>
    <w:rsid w:val="00D77930"/>
    <w:rsid w:val="00D91A3D"/>
    <w:rsid w:val="00F44B48"/>
    <w:rsid w:val="00FE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6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60B2C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5180E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5180E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A6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601B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601B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601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6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60B2C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5180E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5180E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A6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601B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601B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60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2016-10-24T08:14:00Z</cp:lastPrinted>
  <dcterms:created xsi:type="dcterms:W3CDTF">2016-10-28T01:26:00Z</dcterms:created>
  <dcterms:modified xsi:type="dcterms:W3CDTF">2016-10-28T01:26:00Z</dcterms:modified>
</cp:coreProperties>
</file>