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0258E4E">
      <w:pPr>
        <w:jc w:val="center"/>
        <w:rPr>
          <w:rFonts w:hint="eastAsia" w:ascii="宋体" w:hAnsi="宋体" w:eastAsia="宋体" w:cs="宋体"/>
          <w:sz w:val="48"/>
          <w:szCs w:val="48"/>
          <w:lang w:val="en-US" w:eastAsia="zh-CN"/>
        </w:rPr>
      </w:pPr>
      <w:r>
        <w:rPr>
          <w:rFonts w:hint="eastAsia" w:ascii="宋体" w:hAnsi="宋体" w:cs="宋体"/>
          <w:sz w:val="48"/>
          <w:szCs w:val="48"/>
          <w:lang w:val="en-US" w:eastAsia="zh-CN"/>
        </w:rPr>
        <w:t>使用说明</w:t>
      </w:r>
    </w:p>
    <w:p w14:paraId="2535FE13">
      <w:pPr>
        <w:jc w:val="center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 w14:paraId="2436D9E7">
      <w:pPr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 w14:paraId="515A6040">
      <w:pPr>
        <w:numPr>
          <w:ilvl w:val="0"/>
          <w:numId w:val="0"/>
        </w:numPr>
        <w:ind w:firstLine="240" w:firstLineChars="100"/>
        <w:jc w:val="left"/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kern w:val="2"/>
          <w:sz w:val="24"/>
          <w:szCs w:val="24"/>
          <w:lang w:val="en-US" w:eastAsia="zh-CN" w:bidi="ar-SA"/>
        </w:rPr>
        <w:t>1.下载安装：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在广东省临床检验中心官网（https://gdccl.clinet.com.cn）【在线下载】区下载“检验结果互认质量评价平台”，安装后打开软件，登录平台（账号是广东EQA账号，初始密码与账号相同，如账号：gd18501,初始密码：gd18501），首次登陆后完善实验室信息。</w:t>
      </w:r>
    </w:p>
    <w:p w14:paraId="51CDA2C9">
      <w:pPr>
        <w:numPr>
          <w:ilvl w:val="0"/>
          <w:numId w:val="0"/>
        </w:numPr>
        <w:jc w:val="left"/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 xml:space="preserve"> </w:t>
      </w:r>
      <w:r>
        <w:drawing>
          <wp:inline distT="0" distB="0" distL="114300" distR="114300">
            <wp:extent cx="2673350" cy="2273935"/>
            <wp:effectExtent l="12700" t="12700" r="19050" b="1841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73350" cy="2273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874010" cy="2272030"/>
            <wp:effectExtent l="12700" t="12700" r="27940" b="2032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74010" cy="227203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1690213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 w14:paraId="34E8A4C4">
      <w:pPr>
        <w:numPr>
          <w:ilvl w:val="0"/>
          <w:numId w:val="0"/>
        </w:numPr>
        <w:jc w:val="left"/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kern w:val="2"/>
          <w:sz w:val="24"/>
          <w:szCs w:val="24"/>
          <w:lang w:val="en-US" w:eastAsia="zh-CN" w:bidi="ar-SA"/>
        </w:rPr>
        <w:t>数据录入</w:t>
      </w: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：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见下面的操作流程第一二三步，以后换批号只需要一步，即“批号更换”.</w:t>
      </w:r>
    </w:p>
    <w:p w14:paraId="3FB9B400">
      <w:pPr>
        <w:numPr>
          <w:ilvl w:val="0"/>
          <w:numId w:val="0"/>
        </w:numPr>
        <w:ind w:firstLine="480" w:firstLineChars="200"/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2.1 手工填报：实验室需要设置参数，然后开始手工填写质控结果；</w:t>
      </w:r>
    </w:p>
    <w:p w14:paraId="6F2E26EA">
      <w:pPr>
        <w:numPr>
          <w:ilvl w:val="0"/>
          <w:numId w:val="0"/>
        </w:numPr>
        <w:ind w:firstLine="480" w:firstLineChars="200"/>
        <w:jc w:val="left"/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4"/>
          <w:szCs w:val="24"/>
          <w:lang w:val="en-US" w:eastAsia="zh-CN"/>
        </w:rPr>
        <w:t>2.2 EXCEL导入：实验室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设置参数后用Excel表格导入;</w:t>
      </w:r>
    </w:p>
    <w:p w14:paraId="13E83729"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</w:p>
    <w:p w14:paraId="50BA70DA">
      <w:pPr>
        <w:pStyle w:val="9"/>
        <w:numPr>
          <w:ilvl w:val="0"/>
          <w:numId w:val="0"/>
        </w:numPr>
        <w:ind w:leftChars="0" w:firstLine="240" w:firstLineChars="100"/>
        <w:jc w:val="left"/>
        <w:outlineLvl w:val="1"/>
        <w:rPr>
          <w:rFonts w:hint="default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3.报告：</w:t>
      </w:r>
      <w:r>
        <w:rPr>
          <w:rFonts w:hint="eastAsia" w:ascii="微软雅黑" w:hAnsi="微软雅黑" w:eastAsia="微软雅黑" w:cs="微软雅黑"/>
          <w:b w:val="0"/>
          <w:bCs w:val="0"/>
          <w:sz w:val="24"/>
          <w:szCs w:val="24"/>
          <w:lang w:val="en-US" w:eastAsia="zh-CN"/>
        </w:rPr>
        <w:t>每月10号之前会发上一个月的月度报告，</w:t>
      </w: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互认报告是以月度报告来统计的</w:t>
      </w:r>
      <w:r>
        <w:rPr>
          <w:rFonts w:hint="eastAsia" w:ascii="微软雅黑" w:hAnsi="微软雅黑" w:eastAsia="微软雅黑" w:cs="微软雅黑"/>
          <w:b w:val="0"/>
          <w:bCs w:val="0"/>
          <w:sz w:val="24"/>
          <w:szCs w:val="24"/>
          <w:lang w:val="en-US" w:eastAsia="zh-CN"/>
        </w:rPr>
        <w:t>，月度报告合格互认报告才会合格，有问题及时处理。</w:t>
      </w:r>
    </w:p>
    <w:p w14:paraId="000B675D">
      <w:pPr>
        <w:jc w:val="both"/>
        <w:rPr>
          <w:rFonts w:hint="eastAsia"/>
          <w:sz w:val="28"/>
          <w:szCs w:val="28"/>
          <w:lang w:val="en-US" w:eastAsia="zh-CN"/>
        </w:rPr>
      </w:pPr>
    </w:p>
    <w:p w14:paraId="7EF0D938">
      <w:pPr>
        <w:jc w:val="both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参数设置</w:t>
      </w:r>
    </w:p>
    <w:p w14:paraId="79295BF3">
      <w:pPr>
        <w:pStyle w:val="9"/>
        <w:numPr>
          <w:ilvl w:val="0"/>
          <w:numId w:val="0"/>
        </w:numPr>
        <w:ind w:firstLine="240" w:firstLineChars="100"/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第一步：</w:t>
      </w:r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结果互认项目开展</w:t>
      </w:r>
      <w:r>
        <w:rPr>
          <w:rFonts w:hint="eastAsia" w:ascii="微软雅黑" w:hAnsi="微软雅黑" w:eastAsia="微软雅黑" w:cs="微软雅黑"/>
          <w:sz w:val="24"/>
          <w:szCs w:val="24"/>
        </w:rPr>
        <w:t>：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登陆平台，进入“</w:t>
      </w:r>
      <w:r>
        <w:rPr>
          <w:rFonts w:hint="eastAsia" w:ascii="微软雅黑" w:hAnsi="微软雅黑" w:eastAsia="微软雅黑" w:cs="微软雅黑"/>
          <w:b w:val="0"/>
          <w:bCs w:val="0"/>
          <w:sz w:val="24"/>
          <w:szCs w:val="24"/>
          <w:lang w:eastAsia="zh-CN"/>
        </w:rPr>
        <w:t>室内质控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”—“结果互认项目开展”，根据实际开展情况，</w:t>
      </w:r>
      <w:r>
        <w:rPr>
          <w:rFonts w:hint="eastAsia" w:ascii="微软雅黑" w:hAnsi="微软雅黑" w:eastAsia="微软雅黑" w:cs="微软雅黑"/>
          <w:sz w:val="24"/>
          <w:szCs w:val="24"/>
        </w:rPr>
        <w:t>按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专业设置</w:t>
      </w:r>
      <w:r>
        <w:rPr>
          <w:rFonts w:hint="eastAsia" w:ascii="微软雅黑" w:hAnsi="微软雅黑" w:eastAsia="微软雅黑" w:cs="微软雅黑"/>
          <w:sz w:val="24"/>
          <w:szCs w:val="24"/>
        </w:rPr>
        <w:t>互认项目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（</w:t>
      </w:r>
      <w:r>
        <w:rPr>
          <w:rFonts w:hint="eastAsia" w:ascii="微软雅黑" w:hAnsi="微软雅黑" w:eastAsia="微软雅黑" w:cs="微软雅黑"/>
          <w:sz w:val="24"/>
          <w:szCs w:val="24"/>
        </w:rPr>
        <w:t>绿色为启用，灰色为停用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），</w:t>
      </w:r>
      <w:r>
        <w:rPr>
          <w:rFonts w:hint="eastAsia" w:ascii="微软雅黑" w:hAnsi="微软雅黑" w:eastAsia="微软雅黑" w:cs="微软雅黑"/>
          <w:sz w:val="24"/>
          <w:szCs w:val="24"/>
        </w:rPr>
        <w:t>设置完成后点击</w:t>
      </w:r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保存</w:t>
      </w:r>
      <w:r>
        <w:rPr>
          <w:rFonts w:hint="eastAsia" w:ascii="微软雅黑" w:hAnsi="微软雅黑" w:eastAsia="微软雅黑" w:cs="微软雅黑"/>
          <w:sz w:val="24"/>
          <w:szCs w:val="24"/>
        </w:rPr>
        <w:t>。</w:t>
      </w:r>
      <w:r>
        <w:drawing>
          <wp:inline distT="0" distB="0" distL="114300" distR="114300">
            <wp:extent cx="6017260" cy="2216150"/>
            <wp:effectExtent l="12700" t="12700" r="27940" b="1905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17260" cy="221615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9700BB4">
      <w:pPr>
        <w:pStyle w:val="9"/>
        <w:jc w:val="left"/>
      </w:pPr>
      <w:r>
        <w:drawing>
          <wp:inline distT="0" distB="0" distL="114300" distR="114300">
            <wp:extent cx="6008370" cy="2682875"/>
            <wp:effectExtent l="12700" t="12700" r="17780" b="285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08370" cy="26828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6AB4D71">
      <w:pPr>
        <w:pStyle w:val="9"/>
        <w:jc w:val="left"/>
        <w:rPr>
          <w:rFonts w:hint="eastAsia"/>
        </w:rPr>
      </w:pPr>
    </w:p>
    <w:p w14:paraId="3343D75E">
      <w:pPr>
        <w:pStyle w:val="9"/>
        <w:numPr>
          <w:ilvl w:val="0"/>
          <w:numId w:val="0"/>
        </w:numPr>
        <w:spacing w:line="240" w:lineRule="auto"/>
        <w:ind w:leftChars="0"/>
        <w:jc w:val="left"/>
        <w:outlineLvl w:val="1"/>
        <w:rPr>
          <w:rFonts w:hint="eastAsia" w:ascii="微软雅黑" w:hAnsi="微软雅黑" w:eastAsia="微软雅黑" w:cs="微软雅黑"/>
          <w:b/>
          <w:bCs/>
          <w:sz w:val="24"/>
          <w:szCs w:val="24"/>
        </w:rPr>
      </w:pPr>
      <w:bookmarkStart w:id="0" w:name="_Toc32927113"/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 xml:space="preserve">第二步： </w:t>
      </w:r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检测体系配置</w:t>
      </w:r>
      <w:bookmarkEnd w:id="0"/>
    </w:p>
    <w:p w14:paraId="64280415">
      <w:pPr>
        <w:numPr>
          <w:ilvl w:val="0"/>
          <w:numId w:val="0"/>
        </w:numPr>
        <w:ind w:firstLine="480" w:firstLineChars="200"/>
        <w:rPr>
          <w:rFonts w:hint="eastAsia" w:ascii="微软雅黑" w:hAnsi="微软雅黑" w:eastAsia="微软雅黑" w:cs="微软雅黑"/>
          <w:kern w:val="2"/>
          <w:sz w:val="24"/>
          <w:szCs w:val="24"/>
          <w:lang w:val="en-US" w:eastAsia="zh-CN" w:bidi="ar-SA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 xml:space="preserve">2.1 </w:t>
      </w:r>
      <w:r>
        <w:rPr>
          <w:rFonts w:hint="eastAsia" w:ascii="微软雅黑" w:hAnsi="微软雅黑" w:eastAsia="微软雅黑" w:cs="微软雅黑"/>
          <w:kern w:val="2"/>
          <w:sz w:val="24"/>
          <w:szCs w:val="24"/>
          <w:lang w:val="en-US" w:eastAsia="zh-CN" w:bidi="ar-SA"/>
        </w:rPr>
        <w:t>检测体系配置：点击“进入维护模式”，点击每个专业组的项目下拉选择“仪器”“检测方法”“检测试剂”“检测校准品”“单位”，填写“仪器编号”（注：“仪器编号”自由填写3位阿拉伯数字，</w:t>
      </w:r>
      <w:r>
        <w:rPr>
          <w:rFonts w:hint="eastAsia" w:ascii="微软雅黑" w:hAnsi="微软雅黑" w:eastAsia="微软雅黑" w:cs="微软雅黑"/>
          <w:b/>
          <w:bCs/>
          <w:kern w:val="2"/>
          <w:sz w:val="24"/>
          <w:szCs w:val="24"/>
          <w:lang w:val="en-US" w:eastAsia="zh-CN" w:bidi="ar-SA"/>
        </w:rPr>
        <w:t>每台仪器唯一编号</w:t>
      </w:r>
      <w:r>
        <w:rPr>
          <w:rFonts w:hint="eastAsia" w:ascii="微软雅黑" w:hAnsi="微软雅黑" w:eastAsia="微软雅黑" w:cs="微软雅黑"/>
          <w:kern w:val="2"/>
          <w:sz w:val="24"/>
          <w:szCs w:val="24"/>
          <w:lang w:val="en-US" w:eastAsia="zh-CN" w:bidi="ar-SA"/>
        </w:rPr>
        <w:t>），点击“保存”，全部填写完成后“全部保存”。</w:t>
      </w:r>
    </w:p>
    <w:p w14:paraId="64F36841">
      <w:pPr>
        <w:numPr>
          <w:ilvl w:val="0"/>
          <w:numId w:val="0"/>
        </w:numPr>
        <w:ind w:firstLine="240" w:firstLineChars="10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kern w:val="2"/>
          <w:sz w:val="24"/>
          <w:szCs w:val="24"/>
          <w:lang w:val="en-US" w:eastAsia="zh-CN" w:bidi="ar-SA"/>
        </w:rPr>
        <w:t>（如果没有找到的仪器、试剂、方法可以点击左上角“新仪器试剂申请”申请添加）</w:t>
      </w:r>
    </w:p>
    <w:p w14:paraId="2849D9F5">
      <w:pPr>
        <w:pStyle w:val="9"/>
        <w:jc w:val="left"/>
      </w:pPr>
      <w:r>
        <w:drawing>
          <wp:inline distT="0" distB="0" distL="114300" distR="114300">
            <wp:extent cx="6022340" cy="2381885"/>
            <wp:effectExtent l="12700" t="12700" r="15240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22340" cy="238188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15355" cy="1513205"/>
            <wp:effectExtent l="12700" t="12700" r="22225" b="1333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5355" cy="151320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9BA2EFB">
      <w:pPr>
        <w:pStyle w:val="9"/>
        <w:jc w:val="left"/>
        <w:rPr>
          <w:rFonts w:hint="eastAsia"/>
          <w:lang w:val="en-US" w:eastAsia="zh-CN"/>
        </w:rPr>
      </w:pPr>
    </w:p>
    <w:p w14:paraId="0B7B9DCE">
      <w:pPr>
        <w:widowControl w:val="0"/>
        <w:numPr>
          <w:ilvl w:val="0"/>
          <w:numId w:val="0"/>
        </w:numPr>
        <w:ind w:firstLine="240" w:firstLineChars="100"/>
        <w:jc w:val="both"/>
        <w:rPr>
          <w:rFonts w:hint="eastAsia" w:ascii="微软雅黑" w:hAnsi="微软雅黑" w:eastAsia="微软雅黑" w:cs="微软雅黑"/>
          <w:kern w:val="2"/>
          <w:sz w:val="24"/>
          <w:szCs w:val="24"/>
          <w:lang w:val="en-US" w:eastAsia="zh-CN" w:bidi="ar-SA"/>
        </w:rPr>
      </w:pPr>
      <w:r>
        <w:rPr>
          <w:rFonts w:hint="eastAsia" w:ascii="微软雅黑" w:hAnsi="微软雅黑" w:eastAsia="微软雅黑" w:cs="微软雅黑"/>
          <w:kern w:val="2"/>
          <w:sz w:val="24"/>
          <w:szCs w:val="24"/>
          <w:lang w:val="en-US" w:eastAsia="zh-CN" w:bidi="ar-SA"/>
        </w:rPr>
        <w:t>2.2 质控批号维护：菜单栏点击“质控批号维护”，点击“</w:t>
      </w:r>
      <w:r>
        <w:rPr>
          <w:rFonts w:hint="eastAsia" w:ascii="微软雅黑" w:hAnsi="微软雅黑" w:eastAsia="微软雅黑" w:cs="微软雅黑"/>
          <w:b/>
          <w:bCs/>
          <w:kern w:val="2"/>
          <w:sz w:val="24"/>
          <w:szCs w:val="24"/>
          <w:lang w:val="en-US" w:eastAsia="zh-CN" w:bidi="ar-SA"/>
        </w:rPr>
        <w:t>添加</w:t>
      </w:r>
      <w:r>
        <w:rPr>
          <w:rFonts w:hint="eastAsia" w:ascii="微软雅黑" w:hAnsi="微软雅黑" w:eastAsia="微软雅黑" w:cs="微软雅黑"/>
          <w:kern w:val="2"/>
          <w:sz w:val="24"/>
          <w:szCs w:val="24"/>
          <w:lang w:val="en-US" w:eastAsia="zh-CN" w:bidi="ar-SA"/>
        </w:rPr>
        <w:t>”，在弹出框内填写使用的质控批号，用鼠标点击确定，在“质控批号组合简称”填写专业名称+批号缩写（如：“生化1231UN|1583UE”），便于区别，点“确定”、“保存”。</w:t>
      </w:r>
    </w:p>
    <w:p w14:paraId="441F95F7">
      <w:pPr>
        <w:widowControl w:val="0"/>
        <w:numPr>
          <w:ilvl w:val="0"/>
          <w:numId w:val="0"/>
        </w:numPr>
        <w:jc w:val="both"/>
        <w:rPr>
          <w:rFonts w:hint="eastAsia" w:ascii="微软雅黑" w:hAnsi="微软雅黑" w:eastAsia="微软雅黑" w:cs="微软雅黑"/>
        </w:rPr>
      </w:pPr>
      <w:r>
        <w:drawing>
          <wp:inline distT="0" distB="0" distL="114300" distR="114300">
            <wp:extent cx="6020435" cy="1801495"/>
            <wp:effectExtent l="12700" t="12700" r="24765" b="1460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0435" cy="180149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00701D0">
      <w:pPr>
        <w:widowControl w:val="0"/>
        <w:numPr>
          <w:ilvl w:val="0"/>
          <w:numId w:val="0"/>
        </w:numPr>
        <w:jc w:val="both"/>
        <w:rPr>
          <w:rFonts w:hint="eastAsia" w:ascii="微软雅黑" w:hAnsi="微软雅黑" w:eastAsia="微软雅黑" w:cs="微软雅黑"/>
          <w:lang w:val="en-US" w:eastAsia="zh-CN"/>
        </w:rPr>
      </w:pPr>
    </w:p>
    <w:p w14:paraId="4618E9E1">
      <w:pPr>
        <w:pStyle w:val="9"/>
        <w:numPr>
          <w:ilvl w:val="0"/>
          <w:numId w:val="0"/>
        </w:numPr>
        <w:jc w:val="left"/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kern w:val="2"/>
          <w:sz w:val="24"/>
          <w:szCs w:val="24"/>
          <w:lang w:val="en-US" w:eastAsia="zh-CN" w:bidi="ar-SA"/>
        </w:rPr>
        <w:t>2.3质控品关联</w:t>
      </w:r>
      <w:r>
        <w:rPr>
          <w:rFonts w:hint="eastAsia" w:ascii="微软雅黑" w:hAnsi="微软雅黑" w:eastAsia="微软雅黑" w:cs="微软雅黑"/>
          <w:sz w:val="24"/>
          <w:szCs w:val="24"/>
        </w:rPr>
        <w:t>：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就是将批号和项目关联，</w:t>
      </w:r>
      <w:r>
        <w:rPr>
          <w:rFonts w:hint="eastAsia" w:ascii="微软雅黑" w:hAnsi="微软雅黑" w:eastAsia="微软雅黑" w:cs="微软雅黑"/>
          <w:sz w:val="24"/>
          <w:szCs w:val="24"/>
        </w:rPr>
        <w:t>点击项目后面的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“</w:t>
      </w:r>
      <w:r>
        <w:rPr>
          <w:rFonts w:hint="eastAsia" w:ascii="微软雅黑" w:hAnsi="微软雅黑" w:eastAsia="微软雅黑" w:cs="微软雅黑"/>
          <w:sz w:val="24"/>
          <w:szCs w:val="24"/>
        </w:rPr>
        <w:t>编辑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”</w:t>
      </w:r>
      <w:r>
        <w:rPr>
          <w:rFonts w:hint="eastAsia" w:ascii="微软雅黑" w:hAnsi="微软雅黑" w:eastAsia="微软雅黑" w:cs="微软雅黑"/>
          <w:sz w:val="24"/>
          <w:szCs w:val="24"/>
        </w:rPr>
        <w:t>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再点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“</w:t>
      </w:r>
      <w:r>
        <w:rPr>
          <w:rFonts w:hint="eastAsia" w:ascii="微软雅黑" w:hAnsi="微软雅黑" w:eastAsia="微软雅黑" w:cs="微软雅黑"/>
          <w:sz w:val="24"/>
          <w:szCs w:val="24"/>
        </w:rPr>
        <w:t>添加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”</w:t>
      </w:r>
      <w:r>
        <w:rPr>
          <w:rFonts w:hint="eastAsia" w:ascii="微软雅黑" w:hAnsi="微软雅黑" w:eastAsia="微软雅黑" w:cs="微软雅黑"/>
          <w:sz w:val="24"/>
          <w:szCs w:val="24"/>
        </w:rPr>
        <w:t>按钮，在下拉框中选择质控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批号</w:t>
      </w:r>
      <w:r>
        <w:rPr>
          <w:rFonts w:hint="eastAsia" w:ascii="微软雅黑" w:hAnsi="微软雅黑" w:eastAsia="微软雅黑" w:cs="微软雅黑"/>
          <w:sz w:val="24"/>
          <w:szCs w:val="24"/>
        </w:rPr>
        <w:t>组合，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点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“</w:t>
      </w:r>
      <w:r>
        <w:rPr>
          <w:rFonts w:hint="eastAsia" w:ascii="微软雅黑" w:hAnsi="微软雅黑" w:eastAsia="微软雅黑" w:cs="微软雅黑"/>
          <w:sz w:val="24"/>
          <w:szCs w:val="24"/>
        </w:rPr>
        <w:t>确定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”</w:t>
      </w:r>
      <w:r>
        <w:rPr>
          <w:rFonts w:hint="eastAsia" w:ascii="微软雅黑" w:hAnsi="微软雅黑" w:eastAsia="微软雅黑" w:cs="微软雅黑"/>
          <w:sz w:val="24"/>
          <w:szCs w:val="24"/>
        </w:rPr>
        <w:t>保存。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也</w:t>
      </w:r>
      <w:r>
        <w:rPr>
          <w:rFonts w:hint="eastAsia" w:ascii="微软雅黑" w:hAnsi="微软雅黑" w:eastAsia="微软雅黑" w:cs="微软雅黑"/>
          <w:sz w:val="24"/>
          <w:szCs w:val="24"/>
        </w:rPr>
        <w:t>可以点击项目左侧的选择框，选择多个项目，然后点击窗口最下方的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“</w:t>
      </w:r>
      <w:r>
        <w:rPr>
          <w:rFonts w:hint="eastAsia" w:ascii="微软雅黑" w:hAnsi="微软雅黑" w:eastAsia="微软雅黑" w:cs="微软雅黑"/>
          <w:sz w:val="24"/>
          <w:szCs w:val="24"/>
        </w:rPr>
        <w:t>批量编辑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”</w:t>
      </w:r>
      <w:r>
        <w:rPr>
          <w:rFonts w:hint="eastAsia" w:ascii="微软雅黑" w:hAnsi="微软雅黑" w:eastAsia="微软雅黑" w:cs="微软雅黑"/>
          <w:sz w:val="24"/>
          <w:szCs w:val="24"/>
        </w:rPr>
        <w:t>，进入批量关联窗口，在窗口中点击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“</w:t>
      </w:r>
      <w:r>
        <w:rPr>
          <w:rFonts w:hint="eastAsia" w:ascii="微软雅黑" w:hAnsi="微软雅黑" w:eastAsia="微软雅黑" w:cs="微软雅黑"/>
          <w:sz w:val="24"/>
          <w:szCs w:val="24"/>
        </w:rPr>
        <w:t>添加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”</w:t>
      </w:r>
      <w:r>
        <w:rPr>
          <w:rFonts w:hint="eastAsia" w:ascii="微软雅黑" w:hAnsi="微软雅黑" w:eastAsia="微软雅黑" w:cs="微软雅黑"/>
          <w:sz w:val="24"/>
          <w:szCs w:val="24"/>
        </w:rPr>
        <w:t>按钮，在下拉框中选择质控品组合，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点“</w:t>
      </w:r>
      <w:r>
        <w:rPr>
          <w:rFonts w:hint="eastAsia" w:ascii="微软雅黑" w:hAnsi="微软雅黑" w:eastAsia="微软雅黑" w:cs="微软雅黑"/>
          <w:sz w:val="24"/>
          <w:szCs w:val="24"/>
        </w:rPr>
        <w:t>确定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”</w:t>
      </w:r>
      <w:r>
        <w:rPr>
          <w:rFonts w:hint="eastAsia" w:ascii="微软雅黑" w:hAnsi="微软雅黑" w:eastAsia="微软雅黑" w:cs="微软雅黑"/>
          <w:sz w:val="24"/>
          <w:szCs w:val="24"/>
        </w:rPr>
        <w:t>保存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。</w:t>
      </w:r>
      <w:r>
        <w:drawing>
          <wp:inline distT="0" distB="0" distL="114300" distR="114300">
            <wp:extent cx="6013450" cy="2372360"/>
            <wp:effectExtent l="12700" t="12700" r="12700" b="15240"/>
            <wp:docPr id="2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13450" cy="237236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4057570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</w:p>
    <w:p w14:paraId="3B4C110B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微软雅黑" w:hAnsi="微软雅黑" w:eastAsia="微软雅黑" w:cs="微软雅黑"/>
          <w:b/>
          <w:bCs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 xml:space="preserve">第三步： 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eastAsia="zh-CN"/>
        </w:rPr>
        <w:t>手工录入</w:t>
      </w:r>
    </w:p>
    <w:p w14:paraId="221BE241">
      <w:pPr>
        <w:pStyle w:val="9"/>
        <w:numPr>
          <w:ilvl w:val="0"/>
          <w:numId w:val="0"/>
        </w:numPr>
        <w:ind w:leftChars="0" w:firstLine="280" w:firstLineChars="100"/>
        <w:jc w:val="left"/>
        <w:outlineLvl w:val="1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1.手工填报：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eastAsia="zh-CN"/>
        </w:rPr>
        <w:t>多项目数据录入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eastAsia="zh-CN"/>
        </w:rPr>
        <w:t>，选择仪器批号，选择时间，按日期</w:t>
      </w:r>
      <w:r>
        <w:rPr>
          <w:rFonts w:hint="eastAsia" w:ascii="微软雅黑" w:hAnsi="微软雅黑" w:eastAsia="微软雅黑" w:cs="微软雅黑"/>
          <w:b w:val="0"/>
          <w:bCs w:val="0"/>
          <w:color w:val="FF0000"/>
          <w:sz w:val="28"/>
          <w:szCs w:val="28"/>
          <w:lang w:eastAsia="zh-CN"/>
        </w:rPr>
        <w:t>从前往后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eastAsia="zh-CN"/>
        </w:rPr>
        <w:t>手工填写数据。</w:t>
      </w:r>
    </w:p>
    <w:p w14:paraId="3EBF0144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宋体" w:hAnsi="宋体" w:eastAsia="宋体" w:cs="宋体"/>
          <w:b/>
          <w:bCs/>
          <w:szCs w:val="21"/>
          <w:lang w:eastAsia="zh-CN"/>
          <w14:textOutline w14:w="12700" w14:cmpd="sng">
            <w14:solidFill>
              <w14:schemeClr w14:val="accent1">
                <w14:alpha w14:val="0"/>
              </w14:schemeClr>
            </w14:solidFill>
            <w14:prstDash w14:val="solid"/>
            <w14:round/>
          </w14:textOutline>
        </w:rPr>
      </w:pPr>
      <w:r>
        <w:drawing>
          <wp:inline distT="0" distB="0" distL="114300" distR="114300">
            <wp:extent cx="6015990" cy="2332355"/>
            <wp:effectExtent l="12700" t="12700" r="29210" b="17145"/>
            <wp:docPr id="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15990" cy="233235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DD2DDAD">
      <w:pPr>
        <w:pStyle w:val="9"/>
        <w:numPr>
          <w:ilvl w:val="0"/>
          <w:numId w:val="0"/>
        </w:numPr>
        <w:ind w:leftChars="0"/>
        <w:jc w:val="left"/>
        <w:outlineLvl w:val="1"/>
      </w:pP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eastAsia="zh-CN"/>
        </w:rPr>
        <w:t>单项目数据录入：单个项目数据录入及质控数据的编辑。</w:t>
      </w:r>
      <w:r>
        <w:drawing>
          <wp:inline distT="0" distB="0" distL="114300" distR="114300">
            <wp:extent cx="6025515" cy="1764030"/>
            <wp:effectExtent l="12700" t="12700" r="19685" b="13970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25515" cy="176403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798382F">
      <w:pPr>
        <w:pStyle w:val="9"/>
        <w:numPr>
          <w:ilvl w:val="0"/>
          <w:numId w:val="0"/>
        </w:numPr>
        <w:ind w:leftChars="0"/>
        <w:jc w:val="left"/>
        <w:outlineLvl w:val="1"/>
      </w:pPr>
    </w:p>
    <w:p w14:paraId="53B496C1">
      <w:pPr>
        <w:pStyle w:val="9"/>
        <w:numPr>
          <w:ilvl w:val="0"/>
          <w:numId w:val="1"/>
        </w:numPr>
        <w:ind w:leftChars="0"/>
        <w:jc w:val="left"/>
        <w:outlineLvl w:val="1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EXCEL导入：单项目数据录入，先选中需要的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仪器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和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批号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，点“下载模板”，在模板中填好数据后，点击“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导入数据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”选择此文档导入。</w:t>
      </w:r>
    </w:p>
    <w:p w14:paraId="2A54446B">
      <w:pPr>
        <w:pStyle w:val="9"/>
        <w:widowControl w:val="0"/>
        <w:numPr>
          <w:ilvl w:val="0"/>
          <w:numId w:val="0"/>
        </w:numPr>
        <w:jc w:val="left"/>
        <w:outlineLvl w:val="1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6024880" cy="1753235"/>
            <wp:effectExtent l="12700" t="12700" r="20320" b="24765"/>
            <wp:docPr id="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17532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DE90032">
      <w:pPr>
        <w:pStyle w:val="9"/>
        <w:widowControl w:val="0"/>
        <w:numPr>
          <w:ilvl w:val="0"/>
          <w:numId w:val="0"/>
        </w:numPr>
        <w:jc w:val="left"/>
        <w:outlineLvl w:val="1"/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drawing>
          <wp:inline distT="0" distB="0" distL="114300" distR="114300">
            <wp:extent cx="6023610" cy="2572385"/>
            <wp:effectExtent l="12700" t="12700" r="21590" b="247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23610" cy="257238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22340" cy="2089150"/>
            <wp:effectExtent l="12700" t="12700" r="22860" b="12700"/>
            <wp:docPr id="2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22340" cy="208915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D128552">
      <w:pPr>
        <w:pStyle w:val="9"/>
        <w:numPr>
          <w:ilvl w:val="0"/>
          <w:numId w:val="0"/>
        </w:numPr>
        <w:ind w:leftChars="0" w:firstLine="1961" w:firstLineChars="700"/>
        <w:jc w:val="left"/>
        <w:outlineLvl w:val="1"/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 xml:space="preserve"> 单项目数据录入有数据则上报成功！</w:t>
      </w:r>
    </w:p>
    <w:p w14:paraId="08D5DC13">
      <w:pPr>
        <w:pStyle w:val="9"/>
        <w:numPr>
          <w:ilvl w:val="0"/>
          <w:numId w:val="0"/>
        </w:numPr>
        <w:ind w:firstLine="280" w:firstLineChars="100"/>
        <w:jc w:val="left"/>
        <w:outlineLvl w:val="1"/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注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：在“已上传文件”—“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查看详情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”可以看到导入明细，“导入成功”单项目数据录入才有数据，有错误则整个文档导入失败。下载模板中的仪器、项目、批号名称不能变，提示“检测体系不存在”的说明仪器、项目被改了；提示“质控批号组合不存在”说明批号名称被改了，需要修正后重新导入。</w:t>
      </w:r>
    </w:p>
    <w:p w14:paraId="4F41E61F">
      <w:pPr>
        <w:pStyle w:val="9"/>
        <w:numPr>
          <w:ilvl w:val="0"/>
          <w:numId w:val="0"/>
        </w:numPr>
        <w:ind w:firstLine="280" w:firstLineChars="100"/>
        <w:jc w:val="left"/>
        <w:outlineLvl w:val="1"/>
        <w:rPr>
          <w:rFonts w:hint="default" w:eastAsiaTheme="minorEastAsia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FF0000"/>
          <w:sz w:val="28"/>
          <w:szCs w:val="28"/>
          <w:lang w:val="en-US" w:eastAsia="zh-CN"/>
        </w:rPr>
        <w:t>定量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结果只能填写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数字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，</w:t>
      </w:r>
      <w:r>
        <w:rPr>
          <w:rFonts w:hint="eastAsia" w:ascii="微软雅黑" w:hAnsi="微软雅黑" w:eastAsia="微软雅黑" w:cs="微软雅黑"/>
          <w:b/>
          <w:bCs/>
          <w:color w:val="FF0000"/>
          <w:sz w:val="28"/>
          <w:szCs w:val="28"/>
          <w:lang w:val="en-US" w:eastAsia="zh-CN"/>
        </w:rPr>
        <w:t>定性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结果只能用下拉选择的</w:t>
      </w: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符号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>。</w:t>
      </w:r>
      <w:bookmarkStart w:id="1" w:name="_GoBack"/>
      <w:bookmarkEnd w:id="1"/>
    </w:p>
    <w:p w14:paraId="0863919E">
      <w:pPr>
        <w:pStyle w:val="9"/>
        <w:numPr>
          <w:ilvl w:val="0"/>
          <w:numId w:val="0"/>
        </w:numPr>
        <w:jc w:val="left"/>
        <w:outlineLvl w:val="1"/>
      </w:pPr>
      <w:r>
        <w:drawing>
          <wp:inline distT="0" distB="0" distL="114300" distR="114300">
            <wp:extent cx="6012180" cy="1786890"/>
            <wp:effectExtent l="12700" t="12700" r="13970" b="2921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12180" cy="178689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18530" cy="1483995"/>
            <wp:effectExtent l="12700" t="12700" r="26670" b="2730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18530" cy="148399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78368009">
      <w:pPr>
        <w:pStyle w:val="9"/>
        <w:numPr>
          <w:ilvl w:val="0"/>
          <w:numId w:val="0"/>
        </w:numPr>
        <w:jc w:val="left"/>
        <w:outlineLvl w:val="1"/>
      </w:pPr>
    </w:p>
    <w:p w14:paraId="01FDBDF7">
      <w:pPr>
        <w:pStyle w:val="9"/>
        <w:numPr>
          <w:ilvl w:val="0"/>
          <w:numId w:val="0"/>
        </w:numPr>
        <w:jc w:val="left"/>
        <w:outlineLvl w:val="1"/>
      </w:pPr>
    </w:p>
    <w:p w14:paraId="4E871501">
      <w:pPr>
        <w:pStyle w:val="9"/>
        <w:numPr>
          <w:ilvl w:val="0"/>
          <w:numId w:val="0"/>
        </w:numPr>
        <w:jc w:val="left"/>
        <w:outlineLvl w:val="1"/>
        <w:rPr>
          <w:rFonts w:hint="default"/>
          <w:lang w:val="en-US" w:eastAsia="zh-CN"/>
        </w:rPr>
      </w:pPr>
    </w:p>
    <w:p w14:paraId="209C488A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 xml:space="preserve">四：月度报告查看 </w:t>
      </w:r>
    </w:p>
    <w:p w14:paraId="6E34E13F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default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 w:val="0"/>
          <w:bCs w:val="0"/>
          <w:sz w:val="28"/>
          <w:szCs w:val="28"/>
          <w:lang w:val="en-US" w:eastAsia="zh-CN"/>
        </w:rPr>
        <w:t xml:space="preserve"> 每月10号之前会下发上一个月的月度报告，互认报告是按月度报告来统计，月度报告合格是互认合格的基础。</w:t>
      </w:r>
    </w:p>
    <w:p w14:paraId="6911E93A">
      <w:pPr>
        <w:pStyle w:val="9"/>
        <w:numPr>
          <w:ilvl w:val="0"/>
          <w:numId w:val="0"/>
        </w:numPr>
        <w:ind w:leftChars="0"/>
        <w:jc w:val="left"/>
        <w:outlineLvl w:val="1"/>
      </w:pPr>
      <w:r>
        <w:drawing>
          <wp:inline distT="0" distB="0" distL="114300" distR="114300">
            <wp:extent cx="6023610" cy="2950845"/>
            <wp:effectExtent l="12700" t="12700" r="21590" b="27305"/>
            <wp:docPr id="2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23610" cy="295084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A6FBFA4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/>
          <w:lang w:eastAsia="zh-CN"/>
        </w:rPr>
      </w:pPr>
      <w:r>
        <w:drawing>
          <wp:inline distT="0" distB="0" distL="114300" distR="114300">
            <wp:extent cx="6015355" cy="1816100"/>
            <wp:effectExtent l="12700" t="12700" r="29845" b="19050"/>
            <wp:docPr id="3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15355" cy="181610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302D43D">
      <w:pPr>
        <w:numPr>
          <w:ilvl w:val="0"/>
          <w:numId w:val="0"/>
        </w:numPr>
        <w:ind w:left="210" w:leftChars="0"/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使用过程有疑问请联系，联系人：符璐（15329311131）汪天发（13511874178）</w:t>
      </w:r>
    </w:p>
    <w:p w14:paraId="13115103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宋体" w:hAnsi="宋体" w:eastAsia="宋体" w:cs="宋体"/>
          <w:b/>
          <w:bCs/>
          <w:szCs w:val="21"/>
          <w:lang w:eastAsia="zh-CN"/>
        </w:rPr>
      </w:pPr>
    </w:p>
    <w:p w14:paraId="79659C13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宋体" w:hAnsi="宋体" w:eastAsia="宋体" w:cs="宋体"/>
          <w:b/>
          <w:bCs/>
          <w:szCs w:val="21"/>
          <w:lang w:eastAsia="zh-CN"/>
        </w:rPr>
      </w:pPr>
    </w:p>
    <w:p w14:paraId="7F65ACC7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宋体" w:hAnsi="宋体" w:eastAsia="宋体" w:cs="宋体"/>
          <w:b/>
          <w:bCs/>
          <w:szCs w:val="21"/>
          <w:lang w:eastAsia="zh-CN"/>
        </w:rPr>
      </w:pPr>
    </w:p>
    <w:p w14:paraId="0FB6E3D4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宋体" w:hAnsi="宋体" w:eastAsia="宋体" w:cs="宋体"/>
          <w:b/>
          <w:bCs/>
          <w:szCs w:val="21"/>
          <w:lang w:eastAsia="zh-CN"/>
        </w:rPr>
      </w:pPr>
    </w:p>
    <w:p w14:paraId="444024DC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宋体" w:hAnsi="宋体" w:eastAsia="宋体" w:cs="宋体"/>
          <w:b/>
          <w:bCs/>
          <w:szCs w:val="21"/>
          <w:lang w:eastAsia="zh-CN"/>
        </w:rPr>
      </w:pPr>
    </w:p>
    <w:p w14:paraId="1A8B13DC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宋体" w:hAnsi="宋体" w:eastAsia="宋体" w:cs="宋体"/>
          <w:b/>
          <w:bCs/>
          <w:szCs w:val="21"/>
          <w:lang w:eastAsia="zh-CN"/>
        </w:rPr>
      </w:pPr>
    </w:p>
    <w:p w14:paraId="22098800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宋体" w:hAnsi="宋体" w:eastAsia="宋体" w:cs="宋体"/>
          <w:b/>
          <w:bCs/>
          <w:szCs w:val="21"/>
          <w:lang w:eastAsia="zh-CN"/>
        </w:rPr>
      </w:pPr>
    </w:p>
    <w:p w14:paraId="6790C14E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default" w:ascii="微软雅黑" w:hAnsi="微软雅黑" w:eastAsia="微软雅黑" w:cs="微软雅黑"/>
          <w:b/>
          <w:bCs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其他：</w:t>
      </w:r>
    </w:p>
    <w:p w14:paraId="09C7B81F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default" w:ascii="微软雅黑" w:hAnsi="微软雅黑" w:eastAsia="微软雅黑" w:cs="微软雅黑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1"/>
          <w:szCs w:val="21"/>
          <w:lang w:val="en-US" w:eastAsia="zh-CN"/>
        </w:rPr>
        <w:t>1.室内质控考核指标有两个：一是工作日上报率，即工作日做了质控并上报结果；二是月度CV达到有关要求，具体CV要求在“质量监控”页面可以查看。</w:t>
      </w:r>
    </w:p>
    <w:p w14:paraId="7602AD1D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 w:ascii="宋体" w:hAnsi="宋体" w:eastAsia="宋体" w:cs="宋体"/>
          <w:b/>
          <w:bCs/>
          <w:szCs w:val="21"/>
          <w:lang w:eastAsia="zh-CN"/>
        </w:rPr>
      </w:pPr>
      <w:r>
        <w:drawing>
          <wp:inline distT="0" distB="0" distL="114300" distR="114300">
            <wp:extent cx="5107305" cy="2437130"/>
            <wp:effectExtent l="12700" t="12700" r="23495" b="26670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07305" cy="243713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E590DE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jc w:val="left"/>
        <w:textAlignment w:val="auto"/>
        <w:rPr>
          <w:rFonts w:hint="eastAsia"/>
          <w:sz w:val="21"/>
          <w:szCs w:val="21"/>
          <w:lang w:val="en-US" w:eastAsia="zh-CN"/>
        </w:rPr>
      </w:pPr>
    </w:p>
    <w:p w14:paraId="4A5F73E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jc w:val="left"/>
        <w:textAlignment w:val="auto"/>
        <w:rPr>
          <w:rFonts w:hint="eastAsia"/>
          <w:sz w:val="21"/>
          <w:szCs w:val="21"/>
          <w:lang w:val="en-US" w:eastAsia="zh-CN"/>
        </w:rPr>
      </w:pPr>
    </w:p>
    <w:p w14:paraId="6C2A4F6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jc w:val="left"/>
        <w:textAlignment w:val="auto"/>
        <w:rPr>
          <w:rFonts w:hint="default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2.如果某些项目不是每个工作日都开展质控，或者由于特殊原因某天没有质控数据，月度报告提示工作日上报率不合格怎么办？</w:t>
      </w:r>
    </w:p>
    <w:p w14:paraId="7FA389DC">
      <w:pPr>
        <w:pStyle w:val="9"/>
        <w:numPr>
          <w:ilvl w:val="0"/>
          <w:numId w:val="0"/>
        </w:numPr>
        <w:ind w:firstLine="210" w:firstLineChars="100"/>
        <w:jc w:val="left"/>
        <w:rPr>
          <w:rFonts w:hint="eastAsia" w:cstheme="minorBidi"/>
          <w:kern w:val="2"/>
          <w:sz w:val="21"/>
          <w:szCs w:val="21"/>
          <w:lang w:val="en-US" w:eastAsia="zh-CN" w:bidi="ar-SA"/>
        </w:rPr>
      </w:pPr>
      <w:r>
        <w:rPr>
          <w:rFonts w:hint="eastAsia"/>
          <w:sz w:val="21"/>
          <w:szCs w:val="21"/>
          <w:lang w:val="en-US" w:eastAsia="zh-CN"/>
        </w:rPr>
        <w:t>答:做工作日申请，下面是</w:t>
      </w:r>
      <w:r>
        <w:rPr>
          <w:rFonts w:hint="eastAsia" w:asciiTheme="minorHAnsi" w:hAnsiTheme="minorHAnsi" w:eastAsiaTheme="minorEastAsia" w:cstheme="minorBidi"/>
          <w:kern w:val="2"/>
          <w:sz w:val="21"/>
          <w:szCs w:val="21"/>
          <w:lang w:val="en-US" w:eastAsia="zh-CN" w:bidi="ar-SA"/>
        </w:rPr>
        <w:t>工作日申请操作流程</w:t>
      </w:r>
      <w:r>
        <w:rPr>
          <w:rFonts w:hint="eastAsia" w:cstheme="minorBidi"/>
          <w:kern w:val="2"/>
          <w:sz w:val="21"/>
          <w:szCs w:val="21"/>
          <w:lang w:val="en-US" w:eastAsia="zh-CN" w:bidi="ar-SA"/>
        </w:rPr>
        <w:t>:</w:t>
      </w:r>
    </w:p>
    <w:p w14:paraId="32DB7BE6">
      <w:pPr>
        <w:pStyle w:val="9"/>
        <w:numPr>
          <w:ilvl w:val="0"/>
          <w:numId w:val="0"/>
        </w:numPr>
        <w:ind w:firstLine="210" w:firstLineChars="100"/>
        <w:jc w:val="left"/>
        <w:rPr>
          <w:rFonts w:hint="eastAsia" w:cstheme="minorBidi"/>
          <w:kern w:val="2"/>
          <w:sz w:val="21"/>
          <w:szCs w:val="21"/>
          <w:lang w:val="en-US" w:eastAsia="zh-CN" w:bidi="ar-SA"/>
        </w:rPr>
      </w:pPr>
    </w:p>
    <w:p w14:paraId="6FFAB743">
      <w:pPr>
        <w:pStyle w:val="9"/>
        <w:numPr>
          <w:ilvl w:val="0"/>
          <w:numId w:val="0"/>
        </w:numPr>
        <w:ind w:firstLine="210" w:firstLineChars="100"/>
        <w:jc w:val="left"/>
        <w:rPr>
          <w:rFonts w:hint="eastAsia" w:ascii="仿宋" w:hAnsi="仿宋" w:eastAsia="仿宋"/>
          <w:szCs w:val="21"/>
          <w:lang w:val="en-US" w:eastAsia="zh-CN"/>
        </w:rPr>
      </w:pPr>
      <w:r>
        <w:rPr>
          <w:rFonts w:hint="eastAsia" w:ascii="仿宋" w:hAnsi="仿宋" w:eastAsia="仿宋"/>
          <w:szCs w:val="21"/>
          <w:lang w:val="en-US" w:eastAsia="zh-CN"/>
        </w:rPr>
        <w:t>（一）</w:t>
      </w:r>
      <w:r>
        <w:rPr>
          <w:rFonts w:hint="eastAsia" w:ascii="仿宋" w:hAnsi="仿宋" w:eastAsia="仿宋"/>
          <w:b/>
          <w:bCs/>
          <w:szCs w:val="21"/>
          <w:lang w:val="en-US" w:eastAsia="zh-CN"/>
        </w:rPr>
        <w:t>工作日</w:t>
      </w:r>
      <w:r>
        <w:rPr>
          <w:rFonts w:hint="eastAsia" w:ascii="仿宋" w:hAnsi="仿宋" w:eastAsia="仿宋"/>
          <w:szCs w:val="21"/>
          <w:lang w:val="en-US" w:eastAsia="zh-CN"/>
        </w:rPr>
        <w:t>是指国家法定工作日，即除外周末及国家法定节假日；</w:t>
      </w:r>
    </w:p>
    <w:p w14:paraId="5F0CE348">
      <w:pPr>
        <w:pStyle w:val="9"/>
        <w:numPr>
          <w:ilvl w:val="0"/>
          <w:numId w:val="2"/>
        </w:numPr>
        <w:ind w:firstLine="210" w:firstLineChars="100"/>
        <w:jc w:val="left"/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</w:pP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如实际上报天数与默认工作日一致，就不用填写申请；</w:t>
      </w:r>
    </w:p>
    <w:p w14:paraId="3E7D6487">
      <w:pPr>
        <w:pStyle w:val="9"/>
        <w:numPr>
          <w:ilvl w:val="0"/>
          <w:numId w:val="2"/>
        </w:numPr>
        <w:ind w:firstLine="210" w:firstLineChars="100"/>
        <w:jc w:val="left"/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</w:pP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如同一项目多次申请工作日的话以最后一次为准；</w:t>
      </w:r>
    </w:p>
    <w:p w14:paraId="76CC9D34">
      <w:pPr>
        <w:pStyle w:val="9"/>
        <w:numPr>
          <w:ilvl w:val="0"/>
          <w:numId w:val="2"/>
        </w:numPr>
        <w:ind w:left="0" w:leftChars="0" w:firstLine="210" w:firstLineChars="100"/>
        <w:jc w:val="left"/>
        <w:rPr>
          <w:rFonts w:hint="default" w:ascii="仿宋" w:hAnsi="仿宋" w:eastAsia="仿宋" w:cstheme="minorBidi"/>
          <w:kern w:val="2"/>
          <w:sz w:val="21"/>
          <w:szCs w:val="21"/>
          <w:lang w:val="en-US" w:eastAsia="zh-CN" w:bidi="ar-SA"/>
        </w:rPr>
      </w:pP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申请的检测项目的月度工作日，将用于计算该项目的月度工作日</w:t>
      </w:r>
      <w:r>
        <w:rPr>
          <w:rFonts w:hint="eastAsia" w:ascii="仿宋" w:hAnsi="仿宋" w:eastAsia="仿宋" w:cstheme="minorBidi"/>
          <w:b/>
          <w:bCs/>
          <w:kern w:val="2"/>
          <w:sz w:val="21"/>
          <w:szCs w:val="21"/>
          <w:lang w:val="en-US" w:eastAsia="zh-CN" w:bidi="ar-SA"/>
        </w:rPr>
        <w:t>上报率；</w:t>
      </w:r>
    </w:p>
    <w:p w14:paraId="2C0706A2">
      <w:pPr>
        <w:pStyle w:val="9"/>
        <w:numPr>
          <w:ilvl w:val="0"/>
          <w:numId w:val="0"/>
        </w:numPr>
        <w:ind w:leftChars="100"/>
        <w:jc w:val="left"/>
        <w:rPr>
          <w:rFonts w:hint="default" w:ascii="仿宋" w:hAnsi="仿宋" w:eastAsia="仿宋" w:cstheme="minorBidi"/>
          <w:kern w:val="2"/>
          <w:sz w:val="21"/>
          <w:szCs w:val="21"/>
          <w:lang w:val="en-US" w:eastAsia="zh-CN" w:bidi="ar-SA"/>
        </w:rPr>
      </w:pPr>
    </w:p>
    <w:p w14:paraId="0591F855">
      <w:pPr>
        <w:pStyle w:val="9"/>
        <w:numPr>
          <w:ilvl w:val="0"/>
          <w:numId w:val="0"/>
        </w:numPr>
        <w:ind w:leftChars="100"/>
        <w:jc w:val="left"/>
        <w:rPr>
          <w:rFonts w:hint="default" w:ascii="仿宋" w:hAnsi="仿宋" w:eastAsia="仿宋" w:cstheme="minorBidi"/>
          <w:kern w:val="2"/>
          <w:sz w:val="21"/>
          <w:szCs w:val="21"/>
          <w:lang w:val="en-US" w:eastAsia="zh-CN" w:bidi="ar-SA"/>
        </w:rPr>
      </w:pPr>
    </w:p>
    <w:p w14:paraId="25BF3476">
      <w:pPr>
        <w:pStyle w:val="9"/>
        <w:numPr>
          <w:ilvl w:val="0"/>
          <w:numId w:val="0"/>
        </w:numPr>
        <w:jc w:val="left"/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</w:pP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操作流程如下：</w:t>
      </w:r>
    </w:p>
    <w:p w14:paraId="2A5DC62D">
      <w:pPr>
        <w:pStyle w:val="9"/>
        <w:numPr>
          <w:ilvl w:val="0"/>
          <w:numId w:val="0"/>
        </w:numPr>
        <w:ind w:firstLine="210" w:firstLineChars="100"/>
        <w:jc w:val="left"/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</w:pPr>
      <w:r>
        <w:rPr>
          <w:rFonts w:hint="eastAsia" w:ascii="仿宋" w:hAnsi="仿宋" w:eastAsia="仿宋"/>
          <w:szCs w:val="21"/>
          <w:lang w:val="en-US" w:eastAsia="zh-CN"/>
        </w:rPr>
        <w:t>1.登陆平台，进入</w:t>
      </w:r>
      <w:r>
        <w:rPr>
          <w:rFonts w:hint="eastAsia" w:ascii="仿宋" w:hAnsi="仿宋" w:eastAsia="仿宋"/>
          <w:b/>
          <w:bCs/>
          <w:szCs w:val="21"/>
          <w:lang w:val="en-US" w:eastAsia="zh-CN"/>
        </w:rPr>
        <w:t>室内质控</w:t>
      </w:r>
      <w:r>
        <w:rPr>
          <w:rFonts w:hint="eastAsia" w:ascii="仿宋" w:hAnsi="仿宋" w:eastAsia="仿宋"/>
          <w:szCs w:val="21"/>
          <w:lang w:val="en-US" w:eastAsia="zh-CN"/>
        </w:rPr>
        <w:t>，点击</w:t>
      </w:r>
      <w:r>
        <w:rPr>
          <w:rFonts w:hint="eastAsia" w:ascii="仿宋" w:hAnsi="仿宋" w:eastAsia="仿宋"/>
          <w:b/>
          <w:bCs/>
          <w:szCs w:val="21"/>
        </w:rPr>
        <w:t>结果互认项目开展</w:t>
      </w:r>
      <w:r>
        <w:rPr>
          <w:rFonts w:hint="eastAsia" w:ascii="仿宋" w:hAnsi="仿宋" w:eastAsia="仿宋"/>
          <w:szCs w:val="21"/>
          <w:lang w:eastAsia="zh-CN"/>
        </w:rPr>
        <w:t>，</w:t>
      </w:r>
      <w:r>
        <w:rPr>
          <w:rFonts w:hint="eastAsia" w:ascii="仿宋" w:hAnsi="仿宋" w:eastAsia="仿宋"/>
          <w:szCs w:val="21"/>
          <w:lang w:val="en-US" w:eastAsia="zh-CN"/>
        </w:rPr>
        <w:t>在此申请月度工作日。</w:t>
      </w:r>
    </w:p>
    <w:p w14:paraId="3F808B06">
      <w:pPr>
        <w:pStyle w:val="6"/>
        <w:widowControl/>
        <w:spacing w:before="0" w:beforeAutospacing="0" w:after="0" w:afterAutospacing="0"/>
        <w:ind w:firstLine="210" w:firstLineChars="100"/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</w:pP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2.勾选选择“本专业所有项目”，点击“</w:t>
      </w:r>
      <w:r>
        <w:rPr>
          <w:rFonts w:hint="eastAsia" w:ascii="仿宋" w:hAnsi="仿宋" w:eastAsia="仿宋" w:cstheme="minorBidi"/>
          <w:b/>
          <w:bCs/>
          <w:kern w:val="2"/>
          <w:sz w:val="21"/>
          <w:szCs w:val="21"/>
          <w:lang w:val="en-US" w:eastAsia="zh-CN" w:bidi="ar-SA"/>
        </w:rPr>
        <w:t>批量申请</w:t>
      </w: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”进行多个项目工作日天数申请。也可以点击每个项目后面的“工作日”来进行单个项目的申请。</w:t>
      </w:r>
    </w:p>
    <w:p w14:paraId="7BF232A8">
      <w:pPr>
        <w:pStyle w:val="6"/>
        <w:widowControl/>
        <w:spacing w:before="0" w:beforeAutospacing="0" w:after="0" w:afterAutospacing="0"/>
      </w:pPr>
      <w:r>
        <w:drawing>
          <wp:inline distT="0" distB="0" distL="114300" distR="114300">
            <wp:extent cx="5262245" cy="1746250"/>
            <wp:effectExtent l="12700" t="12700" r="20955" b="1270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74625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DBF5DAF">
      <w:pPr>
        <w:pStyle w:val="6"/>
        <w:widowControl/>
        <w:spacing w:before="0" w:beforeAutospacing="0" w:after="0" w:afterAutospacing="0"/>
        <w:rPr>
          <w:rFonts w:hint="eastAsia"/>
          <w:lang w:val="en-US" w:eastAsia="zh-CN"/>
        </w:rPr>
      </w:pPr>
    </w:p>
    <w:p w14:paraId="46D5D62B">
      <w:pPr>
        <w:pStyle w:val="9"/>
        <w:numPr>
          <w:ilvl w:val="1"/>
          <w:numId w:val="1"/>
        </w:numPr>
        <w:ind w:leftChars="100" w:firstLine="211" w:firstLineChars="100"/>
        <w:jc w:val="left"/>
        <w:rPr>
          <w:rFonts w:hint="eastAsia" w:ascii="仿宋" w:hAnsi="仿宋" w:eastAsia="仿宋" w:cstheme="minorBidi"/>
          <w:b w:val="0"/>
          <w:bCs w:val="0"/>
          <w:kern w:val="2"/>
          <w:sz w:val="21"/>
          <w:szCs w:val="21"/>
          <w:lang w:val="en-US" w:eastAsia="zh-CN" w:bidi="ar-SA"/>
        </w:rPr>
      </w:pPr>
      <w:r>
        <w:rPr>
          <w:rFonts w:hint="eastAsia" w:ascii="仿宋" w:hAnsi="仿宋" w:eastAsia="仿宋" w:cstheme="minorBidi"/>
          <w:b/>
          <w:bCs/>
          <w:kern w:val="2"/>
          <w:sz w:val="21"/>
          <w:szCs w:val="21"/>
          <w:lang w:val="en-US" w:eastAsia="zh-CN" w:bidi="ar-SA"/>
        </w:rPr>
        <w:t>批量申请</w:t>
      </w: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：点击“本专业所有项目”，再点击“批量申请”即可进入申请页面，选中月份，点“</w:t>
      </w:r>
      <w:r>
        <w:rPr>
          <w:rFonts w:hint="eastAsia" w:ascii="仿宋" w:hAnsi="仿宋" w:eastAsia="仿宋" w:cstheme="minorBidi"/>
          <w:b/>
          <w:bCs/>
          <w:color w:val="FF0000"/>
          <w:kern w:val="2"/>
          <w:sz w:val="21"/>
          <w:szCs w:val="21"/>
          <w:lang w:val="en-US" w:eastAsia="zh-CN" w:bidi="ar-SA"/>
        </w:rPr>
        <w:t>按天申请</w:t>
      </w: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”</w:t>
      </w:r>
      <w:r>
        <w:rPr>
          <w:rFonts w:hint="eastAsia" w:ascii="仿宋" w:hAnsi="仿宋" w:eastAsia="仿宋" w:cstheme="minorBidi"/>
          <w:b w:val="0"/>
          <w:bCs w:val="0"/>
          <w:kern w:val="2"/>
          <w:sz w:val="21"/>
          <w:szCs w:val="21"/>
          <w:lang w:val="en-US" w:eastAsia="zh-CN" w:bidi="ar-SA"/>
        </w:rPr>
        <w:t>进入该月的日历申请界面，点击选中日期，点“确定”申请，红色字体的为国家节假日，可不申请。</w:t>
      </w:r>
    </w:p>
    <w:p w14:paraId="29466175">
      <w:pPr>
        <w:pStyle w:val="9"/>
        <w:numPr>
          <w:ilvl w:val="0"/>
          <w:numId w:val="0"/>
        </w:numPr>
        <w:ind w:firstLine="420" w:firstLineChars="200"/>
        <w:jc w:val="left"/>
        <w:rPr>
          <w:rFonts w:hint="default" w:ascii="仿宋" w:hAnsi="仿宋" w:eastAsia="仿宋" w:cstheme="minorBidi"/>
          <w:b w:val="0"/>
          <w:bCs w:val="0"/>
          <w:kern w:val="2"/>
          <w:sz w:val="21"/>
          <w:szCs w:val="21"/>
          <w:lang w:val="en-US" w:eastAsia="zh-CN" w:bidi="ar-SA"/>
        </w:rPr>
      </w:pP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选中的日期：当天计算工作日上报率；</w:t>
      </w:r>
    </w:p>
    <w:p w14:paraId="63181C73">
      <w:pPr>
        <w:pStyle w:val="9"/>
        <w:numPr>
          <w:ilvl w:val="0"/>
          <w:numId w:val="0"/>
        </w:numPr>
        <w:ind w:leftChars="100" w:firstLine="210" w:firstLineChars="100"/>
        <w:jc w:val="left"/>
        <w:rPr>
          <w:rFonts w:hint="default" w:ascii="仿宋" w:hAnsi="仿宋" w:eastAsia="仿宋" w:cstheme="minorBidi"/>
          <w:kern w:val="2"/>
          <w:sz w:val="21"/>
          <w:szCs w:val="21"/>
          <w:lang w:val="en-US" w:eastAsia="zh-CN" w:bidi="ar-SA"/>
        </w:rPr>
      </w:pP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未选中的日期：当天不算工作日上报率；</w:t>
      </w:r>
    </w:p>
    <w:p w14:paraId="5A487463">
      <w:pPr>
        <w:pStyle w:val="6"/>
        <w:widowControl/>
        <w:spacing w:before="0" w:beforeAutospacing="0" w:after="0" w:afterAutospacing="0"/>
        <w:rPr>
          <w:rFonts w:hint="default" w:ascii="仿宋" w:hAnsi="仿宋" w:eastAsia="仿宋"/>
          <w:szCs w:val="21"/>
          <w:lang w:val="en-US"/>
        </w:rPr>
      </w:pP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待临检中心审核通过后即申请成功。审核通过后，月度工作日上报率将以申请的工作日计算。</w:t>
      </w:r>
    </w:p>
    <w:p w14:paraId="41F641A8">
      <w:pPr>
        <w:pStyle w:val="9"/>
        <w:jc w:val="left"/>
      </w:pPr>
      <w:r>
        <w:drawing>
          <wp:inline distT="0" distB="0" distL="114300" distR="114300">
            <wp:extent cx="5256530" cy="1717040"/>
            <wp:effectExtent l="12700" t="12700" r="26670" b="2286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171704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063EC6A">
      <w:pPr>
        <w:pStyle w:val="9"/>
        <w:jc w:val="left"/>
        <w:rPr>
          <w:rFonts w:hint="eastAsia"/>
        </w:rPr>
      </w:pPr>
      <w:r>
        <w:drawing>
          <wp:inline distT="0" distB="0" distL="114300" distR="114300">
            <wp:extent cx="5273675" cy="1764030"/>
            <wp:effectExtent l="12700" t="12700" r="28575" b="139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76403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4785" cy="2823210"/>
            <wp:effectExtent l="12700" t="12700" r="18415" b="2159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82321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7E1BEAC">
      <w:pPr>
        <w:pStyle w:val="9"/>
        <w:ind w:firstLine="210" w:firstLineChars="100"/>
        <w:jc w:val="left"/>
        <w:rPr>
          <w:rFonts w:hint="default"/>
          <w:sz w:val="30"/>
          <w:szCs w:val="30"/>
          <w:lang w:val="en-US" w:eastAsia="zh-CN"/>
        </w:rPr>
      </w:pPr>
      <w:r>
        <w:rPr>
          <w:rFonts w:hint="eastAsia" w:ascii="仿宋" w:hAnsi="仿宋" w:eastAsia="仿宋" w:cstheme="minorBidi"/>
          <w:kern w:val="2"/>
          <w:sz w:val="21"/>
          <w:szCs w:val="21"/>
          <w:lang w:val="en-US" w:eastAsia="zh-CN" w:bidi="ar-SA"/>
        </w:rPr>
        <w:t>2.2 单个项目申请，点击单个项目后的“工作日”，在弹出界面中勾选申请月份，点击申请，操作流程同上。</w:t>
      </w:r>
    </w:p>
    <w:p w14:paraId="5832369D">
      <w:pPr>
        <w:pStyle w:val="9"/>
        <w:numPr>
          <w:ilvl w:val="0"/>
          <w:numId w:val="0"/>
        </w:numPr>
        <w:ind w:leftChars="0"/>
        <w:jc w:val="left"/>
        <w:outlineLvl w:val="1"/>
      </w:pPr>
      <w:r>
        <w:drawing>
          <wp:inline distT="0" distB="0" distL="114300" distR="114300">
            <wp:extent cx="5262880" cy="1910715"/>
            <wp:effectExtent l="12700" t="12700" r="20320" b="19685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91071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4EE9C76">
      <w:pPr>
        <w:pStyle w:val="9"/>
        <w:numPr>
          <w:ilvl w:val="0"/>
          <w:numId w:val="0"/>
        </w:numPr>
        <w:ind w:leftChars="0"/>
        <w:jc w:val="left"/>
        <w:outlineLvl w:val="1"/>
      </w:pPr>
    </w:p>
    <w:p w14:paraId="3C7A1866">
      <w:pPr>
        <w:pStyle w:val="9"/>
        <w:numPr>
          <w:ilvl w:val="0"/>
          <w:numId w:val="0"/>
        </w:numPr>
        <w:ind w:leftChars="0"/>
        <w:jc w:val="left"/>
        <w:outlineLvl w:val="1"/>
      </w:pPr>
    </w:p>
    <w:p w14:paraId="2ABCBBE7">
      <w:pPr>
        <w:pStyle w:val="9"/>
        <w:numPr>
          <w:ilvl w:val="0"/>
          <w:numId w:val="0"/>
        </w:numPr>
        <w:ind w:leftChars="0"/>
        <w:jc w:val="left"/>
        <w:outlineLvl w:val="1"/>
        <w:rPr>
          <w:rFonts w:hint="eastAsia"/>
          <w:lang w:eastAsia="zh-CN"/>
        </w:rPr>
      </w:pPr>
    </w:p>
    <w:p w14:paraId="769E7E1C">
      <w:pPr>
        <w:numPr>
          <w:ilvl w:val="0"/>
          <w:numId w:val="1"/>
        </w:numPr>
        <w:ind w:left="0" w:leftChars="0" w:firstLine="0" w:firstLineChars="0"/>
        <w:jc w:val="left"/>
        <w:rPr>
          <w:rFonts w:hint="eastAsia" w:ascii="宋体" w:hAnsi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cs="宋体"/>
          <w:b/>
          <w:bCs/>
          <w:sz w:val="21"/>
          <w:szCs w:val="21"/>
          <w:lang w:val="en-US" w:eastAsia="zh-CN"/>
        </w:rPr>
        <w:t>批号更换：</w:t>
      </w:r>
    </w:p>
    <w:p w14:paraId="4BE09BF2">
      <w:pPr>
        <w:numPr>
          <w:ilvl w:val="0"/>
          <w:numId w:val="0"/>
        </w:numPr>
        <w:ind w:leftChars="0" w:firstLine="210" w:firstLineChars="100"/>
        <w:jc w:val="left"/>
        <w:rPr>
          <w:rFonts w:hint="default" w:ascii="宋体" w:hAnsi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  <w:t>换批号在“质控批号维护”，点击需要换的批号后面的“批号更换”，在弹出的框内【新批号组合】处填写新批号，点击“保存”即完成。旧的批号停用即可。</w:t>
      </w:r>
    </w:p>
    <w:p w14:paraId="3E47912D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6015990" cy="1772920"/>
            <wp:effectExtent l="12700" t="12700" r="29210" b="2413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015990" cy="177292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21070" cy="1690370"/>
            <wp:effectExtent l="12700" t="12700" r="24130" b="30480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21070" cy="169037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A7D98E2">
      <w:pPr>
        <w:numPr>
          <w:ilvl w:val="0"/>
          <w:numId w:val="0"/>
        </w:numPr>
        <w:ind w:leftChars="0"/>
        <w:jc w:val="left"/>
        <w:rPr>
          <w:rFonts w:hint="default"/>
          <w:lang w:val="en-US" w:eastAsia="zh-CN"/>
        </w:rPr>
      </w:pPr>
    </w:p>
    <w:p w14:paraId="12402CF2">
      <w:pPr>
        <w:numPr>
          <w:ilvl w:val="0"/>
          <w:numId w:val="0"/>
        </w:numPr>
        <w:ind w:leftChars="0"/>
        <w:jc w:val="left"/>
        <w:rPr>
          <w:rFonts w:hint="default" w:eastAsia="宋体"/>
          <w:lang w:val="en-US" w:eastAsia="zh-CN"/>
        </w:rPr>
      </w:pPr>
      <w:r>
        <w:rPr>
          <w:rFonts w:hint="eastAsia"/>
          <w:b/>
          <w:bCs/>
          <w:lang w:val="en-US" w:eastAsia="zh-CN"/>
        </w:rPr>
        <w:t>停用批号</w:t>
      </w:r>
      <w:r>
        <w:rPr>
          <w:rFonts w:hint="eastAsia"/>
          <w:lang w:val="en-US" w:eastAsia="zh-CN"/>
        </w:rPr>
        <w:t>：点击批号后面的“编辑”-停用-“保存”</w:t>
      </w:r>
      <w:r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  <w:t>即完成，停用的批号在“已停用质控批号”处查看。</w:t>
      </w:r>
    </w:p>
    <w:p w14:paraId="5D8810CA">
      <w:pPr>
        <w:numPr>
          <w:ilvl w:val="0"/>
          <w:numId w:val="0"/>
        </w:numPr>
        <w:ind w:leftChars="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6021705" cy="1689735"/>
            <wp:effectExtent l="12700" t="12700" r="23495" b="31115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21705" cy="16897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type w:val="continuous"/>
      <w:pgSz w:w="11910" w:h="16840"/>
      <w:pgMar w:top="1080" w:right="860" w:bottom="280" w:left="1560" w:header="720" w:footer="720" w:gutter="0"/>
      <w:pgNumType w:fmt="decimal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D71602B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1F62E6D">
                          <w:pPr>
                            <w:pStyle w:val="4"/>
                          </w:pPr>
                          <w:r>
                            <w:t xml:space="preserve">—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ZTTZkyAgAAYw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5lNNm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1F62E6D">
                    <w:pPr>
                      <w:pStyle w:val="4"/>
                    </w:pPr>
                    <w:r>
                      <w:t xml:space="preserve">—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8D695AA"/>
    <w:multiLevelType w:val="singleLevel"/>
    <w:tmpl w:val="F8D695AA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6C80008D"/>
    <w:multiLevelType w:val="multilevel"/>
    <w:tmpl w:val="6C80008D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FkZTUzOTY3OWRhMzBhMGVmZWQ1OTBmMmFhZDNkOTQifQ=="/>
  </w:docVars>
  <w:rsids>
    <w:rsidRoot w:val="00000000"/>
    <w:rsid w:val="00506555"/>
    <w:rsid w:val="006048FD"/>
    <w:rsid w:val="01E97B3C"/>
    <w:rsid w:val="02550AE5"/>
    <w:rsid w:val="03ED2BA9"/>
    <w:rsid w:val="04C3537C"/>
    <w:rsid w:val="080812F8"/>
    <w:rsid w:val="08AF1D38"/>
    <w:rsid w:val="0A770BC7"/>
    <w:rsid w:val="0A7B00F7"/>
    <w:rsid w:val="0B08469C"/>
    <w:rsid w:val="0BA94BA0"/>
    <w:rsid w:val="0C201171"/>
    <w:rsid w:val="0F372437"/>
    <w:rsid w:val="10B74370"/>
    <w:rsid w:val="14EF747D"/>
    <w:rsid w:val="15475B55"/>
    <w:rsid w:val="15A7586E"/>
    <w:rsid w:val="15A87E7A"/>
    <w:rsid w:val="171B6C61"/>
    <w:rsid w:val="1AC47300"/>
    <w:rsid w:val="1B2B3823"/>
    <w:rsid w:val="21AD3049"/>
    <w:rsid w:val="22F86DF0"/>
    <w:rsid w:val="24017D11"/>
    <w:rsid w:val="25A501D2"/>
    <w:rsid w:val="288B3F57"/>
    <w:rsid w:val="2BED61D0"/>
    <w:rsid w:val="2C12459B"/>
    <w:rsid w:val="2CD71115"/>
    <w:rsid w:val="2F005308"/>
    <w:rsid w:val="33E505BB"/>
    <w:rsid w:val="34637732"/>
    <w:rsid w:val="35461449"/>
    <w:rsid w:val="369B4862"/>
    <w:rsid w:val="36C03914"/>
    <w:rsid w:val="3942200C"/>
    <w:rsid w:val="3FD14F7C"/>
    <w:rsid w:val="4079378C"/>
    <w:rsid w:val="424B1F31"/>
    <w:rsid w:val="465F0675"/>
    <w:rsid w:val="46CA39ED"/>
    <w:rsid w:val="48EA028E"/>
    <w:rsid w:val="4DC90153"/>
    <w:rsid w:val="4DCB59E3"/>
    <w:rsid w:val="5316012A"/>
    <w:rsid w:val="53C41B44"/>
    <w:rsid w:val="53F40002"/>
    <w:rsid w:val="55D214FE"/>
    <w:rsid w:val="599D23C6"/>
    <w:rsid w:val="5B9B13DC"/>
    <w:rsid w:val="5CD33ABE"/>
    <w:rsid w:val="5D87056D"/>
    <w:rsid w:val="5E175311"/>
    <w:rsid w:val="624642C4"/>
    <w:rsid w:val="63BF766F"/>
    <w:rsid w:val="654F4FE5"/>
    <w:rsid w:val="65E011A6"/>
    <w:rsid w:val="67DC5256"/>
    <w:rsid w:val="68FC5484"/>
    <w:rsid w:val="6AB52BA3"/>
    <w:rsid w:val="6E3B25AB"/>
    <w:rsid w:val="71305ED2"/>
    <w:rsid w:val="73FB4CB6"/>
    <w:rsid w:val="76067F6B"/>
    <w:rsid w:val="7B723E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autoRedefine/>
    <w:qFormat/>
    <w:uiPriority w:val="1"/>
    <w:pPr>
      <w:spacing w:before="1"/>
      <w:ind w:left="240"/>
      <w:outlineLvl w:val="1"/>
    </w:pPr>
    <w:rPr>
      <w:rFonts w:ascii="宋体" w:hAnsi="宋体" w:eastAsia="宋体" w:cs="宋体"/>
      <w:b/>
      <w:bCs/>
      <w:sz w:val="24"/>
      <w:szCs w:val="24"/>
      <w:lang w:val="en-US" w:eastAsia="en-US" w:bidi="en-US"/>
    </w:rPr>
  </w:style>
  <w:style w:type="character" w:default="1" w:styleId="8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autoRedefine/>
    <w:qFormat/>
    <w:uiPriority w:val="1"/>
    <w:rPr>
      <w:rFonts w:ascii="宋体" w:hAnsi="宋体" w:eastAsia="宋体" w:cs="宋体"/>
      <w:sz w:val="24"/>
      <w:szCs w:val="24"/>
      <w:lang w:val="en-US" w:eastAsia="en-US" w:bidi="en-US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autoRedefine/>
    <w:qFormat/>
    <w:uiPriority w:val="0"/>
    <w:pPr>
      <w:spacing w:before="100" w:beforeAutospacing="1" w:after="100" w:afterAutospacing="1"/>
      <w:jc w:val="left"/>
    </w:pPr>
    <w:rPr>
      <w:kern w:val="0"/>
      <w:sz w:val="24"/>
    </w:rPr>
  </w:style>
  <w:style w:type="paragraph" w:styleId="9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10">
    <w:name w:val="List Paragraph"/>
    <w:basedOn w:val="1"/>
    <w:autoRedefine/>
    <w:qFormat/>
    <w:uiPriority w:val="1"/>
    <w:pPr>
      <w:spacing w:before="201"/>
      <w:ind w:left="1320" w:hanging="540"/>
    </w:pPr>
    <w:rPr>
      <w:rFonts w:ascii="宋体" w:hAnsi="宋体" w:eastAsia="宋体" w:cs="宋体"/>
      <w:lang w:val="en-US" w:eastAsia="en-US" w:bidi="en-US"/>
    </w:rPr>
  </w:style>
  <w:style w:type="paragraph" w:customStyle="1" w:styleId="11">
    <w:name w:val="Table Paragraph"/>
    <w:basedOn w:val="1"/>
    <w:autoRedefine/>
    <w:qFormat/>
    <w:uiPriority w:val="1"/>
    <w:pPr>
      <w:spacing w:before="31"/>
      <w:ind w:left="14"/>
    </w:pPr>
    <w:rPr>
      <w:rFonts w:ascii="宋体" w:hAnsi="宋体" w:eastAsia="宋体" w:cs="宋体"/>
      <w:lang w:val="en-US"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1834</Words>
  <Characters>1942</Characters>
  <Lines>0</Lines>
  <Paragraphs>0</Paragraphs>
  <TotalTime>11</TotalTime>
  <ScaleCrop>false</ScaleCrop>
  <LinksUpToDate>false</LinksUpToDate>
  <CharactersWithSpaces>1956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2023-03-29T04:51:00Z</dcterms:created>
  <dc:creator>Administrator</dc:creator>
  <cp:lastModifiedBy>Julie最美丽</cp:lastModifiedBy>
  <dcterms:modified xsi:type="dcterms:W3CDTF">2024-09-18T14:23:20Z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5C7648DF99DC4A5B83F98F7803E3476F</vt:lpwstr>
  </property>
</Properties>
</file>