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9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b/>
          <w:sz w:val="32"/>
          <w:szCs w:val="32"/>
          <w:lang w:val="en-US" w:eastAsia="zh-CN"/>
        </w:rPr>
      </w:pPr>
      <w:bookmarkStart w:id="0" w:name="_Toc252799986"/>
      <w:bookmarkStart w:id="1" w:name="_Toc254957913"/>
      <w:r>
        <w:rPr>
          <w:rFonts w:hint="eastAsia" w:ascii="Times New Roman" w:hAnsi="Times New Roman" w:eastAsia="宋体"/>
          <w:b/>
          <w:sz w:val="32"/>
          <w:szCs w:val="32"/>
          <w:lang w:val="en-US" w:eastAsia="zh-CN"/>
        </w:rPr>
        <w:t>广东临床检验中心</w:t>
      </w:r>
    </w:p>
    <w:p w14:paraId="5D1703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202</w:t>
      </w:r>
      <w:r>
        <w:rPr>
          <w:rFonts w:hint="eastAsia" w:ascii="Times New Roman" w:hAnsi="Times New Roman" w:eastAsia="宋体"/>
          <w:b/>
          <w:sz w:val="32"/>
          <w:szCs w:val="32"/>
          <w:lang w:val="en-US" w:eastAsia="zh-CN"/>
        </w:rPr>
        <w:t>6</w:t>
      </w:r>
      <w:r>
        <w:rPr>
          <w:rFonts w:hint="eastAsia" w:ascii="Times New Roman" w:hAnsi="Times New Roman" w:eastAsia="宋体"/>
          <w:b/>
          <w:sz w:val="32"/>
          <w:szCs w:val="32"/>
        </w:rPr>
        <w:t>年广东省临床免疫</w:t>
      </w:r>
      <w:r>
        <w:rPr>
          <w:rFonts w:hint="eastAsia" w:ascii="Times New Roman" w:hAnsi="Times New Roman" w:eastAsia="宋体"/>
          <w:b/>
          <w:sz w:val="32"/>
          <w:szCs w:val="32"/>
          <w:lang w:val="en-US" w:eastAsia="zh-CN"/>
        </w:rPr>
        <w:t>学</w:t>
      </w:r>
      <w:r>
        <w:rPr>
          <w:rFonts w:hint="eastAsia" w:ascii="Times New Roman" w:hAnsi="Times New Roman" w:eastAsia="宋体"/>
          <w:b/>
          <w:sz w:val="32"/>
          <w:szCs w:val="32"/>
        </w:rPr>
        <w:t>室间质量评价</w:t>
      </w:r>
    </w:p>
    <w:p w14:paraId="1883D9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活动安排及注意事项</w:t>
      </w:r>
      <w:bookmarkEnd w:id="0"/>
      <w:bookmarkEnd w:id="1"/>
    </w:p>
    <w:p w14:paraId="5164CC1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p>
    <w:p w14:paraId="67A5AAAD">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w:t>
      </w:r>
      <w:r>
        <w:rPr>
          <w:rFonts w:hint="eastAsia" w:ascii="Times New Roman" w:hAnsi="Times New Roman" w:eastAsia="宋体" w:cs="宋体"/>
          <w:b/>
          <w:bCs/>
          <w:kern w:val="0"/>
          <w:sz w:val="21"/>
          <w:szCs w:val="21"/>
          <w:lang w:val="en-US" w:eastAsia="zh-CN" w:bidi="ar-SA"/>
        </w:rPr>
        <w:t>评价项目</w:t>
      </w:r>
      <w:r>
        <w:rPr>
          <w:rFonts w:hint="eastAsia" w:ascii="Times New Roman" w:hAnsi="Times New Roman" w:eastAsia="宋体" w:cs="宋体"/>
          <w:b/>
          <w:bCs/>
          <w:kern w:val="0"/>
          <w:sz w:val="21"/>
          <w:szCs w:val="21"/>
          <w:lang w:val="en-US" w:eastAsia="zh-CN" w:bidi="ar-SA"/>
        </w:rPr>
        <w:t>与时间表</w:t>
      </w:r>
    </w:p>
    <w:p w14:paraId="3947609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乙肝表面抗原（</w:t>
      </w:r>
      <w:r>
        <w:rPr>
          <w:rFonts w:hint="default" w:ascii="Times New Roman" w:hAnsi="Times New Roman" w:eastAsia="宋体" w:cs="Times New Roman"/>
          <w:kern w:val="0"/>
          <w:sz w:val="21"/>
          <w:szCs w:val="20"/>
          <w:lang w:val="en-US" w:eastAsia="zh-CN"/>
        </w:rPr>
        <w:t>HBsAg</w:t>
      </w:r>
      <w:r>
        <w:rPr>
          <w:rFonts w:hint="eastAsia" w:ascii="Times New Roman" w:hAnsi="Times New Roman" w:eastAsia="宋体" w:cs="Times New Roman"/>
          <w:kern w:val="0"/>
          <w:sz w:val="21"/>
          <w:szCs w:val="20"/>
          <w:lang w:val="en-US" w:eastAsia="zh-CN"/>
        </w:rPr>
        <w:t>）、乙肝表面抗体（</w:t>
      </w:r>
      <w:r>
        <w:rPr>
          <w:rFonts w:hint="default" w:ascii="Times New Roman" w:hAnsi="Times New Roman" w:eastAsia="宋体" w:cs="Times New Roman"/>
          <w:kern w:val="0"/>
          <w:sz w:val="21"/>
          <w:szCs w:val="20"/>
          <w:lang w:val="en-US" w:eastAsia="zh-CN"/>
        </w:rPr>
        <w:t>HBsAb</w:t>
      </w:r>
      <w:r>
        <w:rPr>
          <w:rFonts w:hint="eastAsia" w:ascii="Times New Roman" w:hAnsi="Times New Roman" w:eastAsia="宋体" w:cs="Times New Roman"/>
          <w:kern w:val="0"/>
          <w:sz w:val="21"/>
          <w:szCs w:val="20"/>
          <w:lang w:val="en-US" w:eastAsia="zh-CN"/>
        </w:rPr>
        <w:t>）、乙肝</w:t>
      </w:r>
      <w:r>
        <w:rPr>
          <w:rFonts w:hint="default" w:ascii="Times New Roman" w:hAnsi="Times New Roman" w:eastAsia="宋体" w:cs="Times New Roman"/>
          <w:kern w:val="0"/>
          <w:sz w:val="21"/>
          <w:szCs w:val="20"/>
          <w:lang w:val="en-US" w:eastAsia="zh-CN"/>
        </w:rPr>
        <w:t>e</w:t>
      </w:r>
      <w:r>
        <w:rPr>
          <w:rFonts w:hint="eastAsia" w:ascii="Times New Roman" w:hAnsi="Times New Roman" w:eastAsia="宋体" w:cs="Times New Roman"/>
          <w:kern w:val="0"/>
          <w:sz w:val="21"/>
          <w:szCs w:val="20"/>
          <w:lang w:val="en-US" w:eastAsia="zh-CN"/>
        </w:rPr>
        <w:t>抗原（</w:t>
      </w:r>
      <w:r>
        <w:rPr>
          <w:rFonts w:hint="default" w:ascii="Times New Roman" w:hAnsi="Times New Roman" w:eastAsia="宋体" w:cs="Times New Roman"/>
          <w:kern w:val="0"/>
          <w:sz w:val="21"/>
          <w:szCs w:val="20"/>
          <w:lang w:val="en-US" w:eastAsia="zh-CN"/>
        </w:rPr>
        <w:t>HBeAg</w:t>
      </w:r>
      <w:r>
        <w:rPr>
          <w:rFonts w:hint="eastAsia" w:ascii="Times New Roman" w:hAnsi="Times New Roman" w:eastAsia="宋体" w:cs="Times New Roman"/>
          <w:kern w:val="0"/>
          <w:sz w:val="21"/>
          <w:szCs w:val="20"/>
          <w:lang w:val="en-US" w:eastAsia="zh-CN"/>
        </w:rPr>
        <w:t>）、乙肝</w:t>
      </w:r>
      <w:r>
        <w:rPr>
          <w:rFonts w:hint="default" w:ascii="Times New Roman" w:hAnsi="Times New Roman" w:eastAsia="宋体" w:cs="Times New Roman"/>
          <w:kern w:val="0"/>
          <w:sz w:val="21"/>
          <w:szCs w:val="20"/>
          <w:lang w:val="en-US" w:eastAsia="zh-CN"/>
        </w:rPr>
        <w:t>e</w:t>
      </w:r>
      <w:r>
        <w:rPr>
          <w:rFonts w:hint="eastAsia" w:ascii="Times New Roman" w:hAnsi="Times New Roman" w:eastAsia="宋体" w:cs="Times New Roman"/>
          <w:kern w:val="0"/>
          <w:sz w:val="21"/>
          <w:szCs w:val="20"/>
          <w:lang w:val="en-US" w:eastAsia="zh-CN"/>
        </w:rPr>
        <w:t>抗体（</w:t>
      </w:r>
      <w:r>
        <w:rPr>
          <w:rFonts w:hint="default" w:ascii="Times New Roman" w:hAnsi="Times New Roman" w:eastAsia="宋体" w:cs="Times New Roman"/>
          <w:kern w:val="0"/>
          <w:sz w:val="21"/>
          <w:szCs w:val="20"/>
          <w:lang w:val="en-US" w:eastAsia="zh-CN"/>
        </w:rPr>
        <w:t>HBeAb</w:t>
      </w:r>
      <w:r>
        <w:rPr>
          <w:rFonts w:hint="eastAsia" w:ascii="Times New Roman" w:hAnsi="Times New Roman" w:eastAsia="宋体" w:cs="Times New Roman"/>
          <w:kern w:val="0"/>
          <w:sz w:val="21"/>
          <w:szCs w:val="20"/>
          <w:lang w:val="en-US" w:eastAsia="zh-CN"/>
        </w:rPr>
        <w:t>）、乙肝核心抗体流行病学调查：</w:t>
      </w:r>
      <w:r>
        <w:rPr>
          <w:rFonts w:hint="default" w:ascii="Times New Roman" w:hAnsi="Times New Roman" w:eastAsia="宋体" w:cs="Times New Roman"/>
          <w:kern w:val="0"/>
          <w:sz w:val="21"/>
          <w:szCs w:val="20"/>
          <w:lang w:val="en-US" w:eastAsia="zh-CN"/>
        </w:rPr>
        <w:t>HBcAb</w:t>
      </w:r>
      <w:r>
        <w:rPr>
          <w:rFonts w:hint="eastAsia" w:ascii="Times New Roman" w:hAnsi="Times New Roman" w:eastAsia="宋体" w:cs="Times New Roman"/>
          <w:kern w:val="0"/>
          <w:sz w:val="21"/>
          <w:szCs w:val="20"/>
          <w:lang w:val="en-US" w:eastAsia="zh-CN"/>
        </w:rPr>
        <w:t>（</w:t>
      </w:r>
      <w:r>
        <w:rPr>
          <w:rFonts w:hint="default" w:ascii="Times New Roman" w:hAnsi="Times New Roman" w:eastAsia="宋体" w:cs="Times New Roman"/>
          <w:kern w:val="0"/>
          <w:sz w:val="21"/>
          <w:szCs w:val="20"/>
          <w:lang w:val="en-US" w:eastAsia="zh-CN"/>
        </w:rPr>
        <w:t>E</w:t>
      </w:r>
      <w:r>
        <w:rPr>
          <w:rFonts w:hint="eastAsia"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、丙肝抗体（抗</w:t>
      </w:r>
      <w:r>
        <w:rPr>
          <w:rFonts w:hint="default" w:ascii="Times New Roman" w:hAnsi="Times New Roman" w:eastAsia="宋体" w:cs="Times New Roman"/>
          <w:kern w:val="0"/>
          <w:sz w:val="21"/>
          <w:szCs w:val="20"/>
          <w:lang w:val="en-US" w:eastAsia="zh-CN"/>
        </w:rPr>
        <w:t>HCV</w:t>
      </w:r>
      <w:r>
        <w:rPr>
          <w:rFonts w:hint="eastAsia" w:ascii="Times New Roman" w:hAnsi="Times New Roman" w:eastAsia="宋体" w:cs="Times New Roman"/>
          <w:kern w:val="0"/>
          <w:sz w:val="21"/>
          <w:szCs w:val="20"/>
          <w:lang w:val="en-US" w:eastAsia="zh-CN"/>
        </w:rPr>
        <w:t>）和</w:t>
      </w:r>
      <w:bookmarkStart w:id="2" w:name="OLE_LINK2"/>
      <w:r>
        <w:rPr>
          <w:rFonts w:hint="eastAsia" w:ascii="Times New Roman" w:hAnsi="Times New Roman" w:eastAsia="宋体" w:cs="Times New Roman"/>
          <w:kern w:val="0"/>
          <w:sz w:val="21"/>
          <w:szCs w:val="20"/>
          <w:lang w:val="en-US" w:eastAsia="zh-CN"/>
        </w:rPr>
        <w:t>梅毒抗体</w:t>
      </w:r>
      <w:bookmarkEnd w:id="2"/>
      <w:r>
        <w:rPr>
          <w:rFonts w:hint="eastAsia" w:ascii="Times New Roman" w:hAnsi="Times New Roman" w:eastAsia="宋体" w:cs="Times New Roman"/>
          <w:kern w:val="0"/>
          <w:sz w:val="21"/>
          <w:szCs w:val="20"/>
          <w:lang w:val="en-US" w:eastAsia="zh-CN"/>
        </w:rPr>
        <w:t>。全年测定</w:t>
      </w:r>
      <w:r>
        <w:rPr>
          <w:rFonts w:hint="default" w:ascii="Times New Roman" w:hAnsi="Times New Roman" w:eastAsia="宋体" w:cs="Times New Roman"/>
          <w:kern w:val="0"/>
          <w:sz w:val="21"/>
          <w:szCs w:val="20"/>
          <w:lang w:val="en-US" w:eastAsia="zh-CN"/>
        </w:rPr>
        <w:t>3</w:t>
      </w:r>
      <w:r>
        <w:rPr>
          <w:rFonts w:hint="eastAsia" w:ascii="Times New Roman" w:hAnsi="Times New Roman" w:eastAsia="宋体" w:cs="Times New Roman"/>
          <w:kern w:val="0"/>
          <w:sz w:val="21"/>
          <w:szCs w:val="20"/>
          <w:lang w:val="en-US" w:eastAsia="zh-CN"/>
        </w:rPr>
        <w:t>次</w:t>
      </w:r>
      <w:r>
        <w:rPr>
          <w:rFonts w:hint="eastAsia"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每次</w:t>
      </w:r>
      <w:r>
        <w:rPr>
          <w:rFonts w:hint="default" w:ascii="Times New Roman" w:hAnsi="Times New Roman" w:eastAsia="宋体" w:cs="Times New Roman"/>
          <w:kern w:val="0"/>
          <w:sz w:val="21"/>
          <w:szCs w:val="20"/>
          <w:lang w:val="en-US" w:eastAsia="zh-CN"/>
        </w:rPr>
        <w:t>5</w:t>
      </w:r>
      <w:r>
        <w:rPr>
          <w:rFonts w:hint="eastAsia" w:ascii="Times New Roman" w:hAnsi="Times New Roman" w:eastAsia="宋体" w:cs="Times New Roman"/>
          <w:kern w:val="0"/>
          <w:sz w:val="21"/>
          <w:szCs w:val="20"/>
          <w:lang w:val="en-US" w:eastAsia="zh-CN"/>
        </w:rPr>
        <w:t>个样本（每支样本含乙肝5项、抗HCV及梅毒抗体共7个项目）。</w:t>
      </w:r>
    </w:p>
    <w:p w14:paraId="1C6DE183">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720" w:rightChars="343" w:firstLine="420" w:firstLineChars="200"/>
        <w:textAlignment w:val="auto"/>
        <w:rPr>
          <w:rFonts w:hint="eastAsia"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本年度</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批次样本同时邮寄，请实验室收到样本后</w:t>
      </w:r>
      <w:r>
        <w:rPr>
          <w:rFonts w:hint="eastAsia" w:ascii="Times New Roman" w:hAnsi="Times New Roman" w:eastAsia="宋体" w:cs="Times New Roman"/>
          <w:kern w:val="0"/>
          <w:sz w:val="21"/>
          <w:szCs w:val="20"/>
          <w:lang w:val="en-US" w:eastAsia="zh-CN" w:bidi="ar-SA"/>
        </w:rPr>
        <w:t>，按照活动安排时间</w:t>
      </w:r>
      <w:r>
        <w:rPr>
          <w:rFonts w:hint="default" w:ascii="Times New Roman" w:hAnsi="Times New Roman" w:eastAsia="宋体" w:cs="Times New Roman"/>
          <w:kern w:val="0"/>
          <w:sz w:val="21"/>
          <w:szCs w:val="20"/>
          <w:lang w:val="en-US" w:eastAsia="zh-CN" w:bidi="ar-SA"/>
        </w:rPr>
        <w:t>测</w:t>
      </w:r>
      <w:r>
        <w:rPr>
          <w:rFonts w:hint="eastAsia" w:ascii="Times New Roman" w:hAnsi="Times New Roman" w:eastAsia="宋体" w:cs="Times New Roman"/>
          <w:kern w:val="0"/>
          <w:sz w:val="21"/>
          <w:szCs w:val="20"/>
          <w:lang w:val="en-US" w:eastAsia="zh-CN" w:bidi="ar-SA"/>
        </w:rPr>
        <w:t>定</w:t>
      </w:r>
      <w:r>
        <w:rPr>
          <w:rFonts w:hint="default"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批次</w:t>
      </w:r>
      <w:r>
        <w:rPr>
          <w:rFonts w:hint="eastAsia" w:ascii="Times New Roman" w:hAnsi="Times New Roman" w:eastAsia="宋体" w:cs="Times New Roman"/>
          <w:kern w:val="0"/>
          <w:sz w:val="21"/>
          <w:szCs w:val="20"/>
          <w:lang w:val="en-US" w:eastAsia="zh-CN" w:bidi="ar-SA"/>
        </w:rPr>
        <w:t>分开</w:t>
      </w:r>
      <w:r>
        <w:rPr>
          <w:rFonts w:hint="default" w:ascii="Times New Roman" w:hAnsi="Times New Roman" w:eastAsia="宋体" w:cs="Times New Roman"/>
          <w:kern w:val="0"/>
          <w:sz w:val="21"/>
          <w:szCs w:val="20"/>
          <w:lang w:val="en-US" w:eastAsia="zh-CN" w:bidi="ar-SA"/>
        </w:rPr>
        <w:t>检测，分批回报结果）</w:t>
      </w:r>
      <w:r>
        <w:rPr>
          <w:rFonts w:hint="eastAsia"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三</w:t>
      </w:r>
      <w:r>
        <w:rPr>
          <w:rFonts w:hint="default" w:ascii="Times New Roman" w:hAnsi="Times New Roman" w:eastAsia="宋体" w:cs="Times New Roman"/>
          <w:kern w:val="0"/>
          <w:sz w:val="21"/>
          <w:szCs w:val="20"/>
          <w:lang w:val="en-US" w:eastAsia="zh-CN" w:bidi="ar-SA"/>
        </w:rPr>
        <w:t>次活动报表将按照时间先后顺序下发，具体活动安排见</w:t>
      </w:r>
      <w:r>
        <w:rPr>
          <w:rFonts w:hint="eastAsia" w:ascii="Times New Roman" w:hAnsi="Times New Roman" w:eastAsia="宋体" w:cs="Times New Roman"/>
          <w:kern w:val="0"/>
          <w:sz w:val="21"/>
          <w:szCs w:val="20"/>
          <w:lang w:val="en-US" w:eastAsia="zh-CN" w:bidi="ar-SA"/>
        </w:rPr>
        <w:t>下</w:t>
      </w:r>
      <w:r>
        <w:rPr>
          <w:rFonts w:hint="default" w:ascii="Times New Roman" w:hAnsi="Times New Roman" w:eastAsia="宋体" w:cs="Times New Roman"/>
          <w:kern w:val="0"/>
          <w:sz w:val="21"/>
          <w:szCs w:val="20"/>
          <w:lang w:val="en-US" w:eastAsia="zh-CN" w:bidi="ar-SA"/>
        </w:rPr>
        <w:t>表</w:t>
      </w:r>
      <w:r>
        <w:rPr>
          <w:rFonts w:hint="eastAsia" w:ascii="Times New Roman" w:hAnsi="Times New Roman" w:eastAsia="宋体" w:cs="Times New Roman"/>
          <w:kern w:val="0"/>
          <w:sz w:val="21"/>
          <w:szCs w:val="20"/>
          <w:lang w:val="en-US" w:eastAsia="zh-CN" w:bidi="ar-SA"/>
        </w:rPr>
        <w:t>。</w:t>
      </w:r>
    </w:p>
    <w:tbl>
      <w:tblPr>
        <w:tblStyle w:val="7"/>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551"/>
        <w:gridCol w:w="2013"/>
        <w:gridCol w:w="1874"/>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960"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1284"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202611,202612,</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202613,202614,202615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960"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1284"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202621,202622,</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202623,202624,202625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6月26日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7月10日</w:t>
            </w:r>
          </w:p>
        </w:tc>
        <w:tc>
          <w:tcPr>
            <w:tcW w:w="960"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7</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r w14:paraId="2BC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8" w:type="pct"/>
            <w:vAlign w:val="center"/>
          </w:tcPr>
          <w:p w14:paraId="724869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第三次</w:t>
            </w:r>
          </w:p>
        </w:tc>
        <w:tc>
          <w:tcPr>
            <w:tcW w:w="1284" w:type="pct"/>
          </w:tcPr>
          <w:p w14:paraId="5FCB44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1,2026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2,</w:t>
            </w:r>
          </w:p>
          <w:p w14:paraId="362D80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3,2026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4,2026</w:t>
            </w:r>
            <w:r>
              <w:rPr>
                <w:rFonts w:hint="eastAsia" w:ascii="Times New Roman" w:hAnsi="Times New Roman" w:eastAsia="宋体" w:cs="宋体"/>
                <w:color w:val="000000"/>
                <w:kern w:val="0"/>
                <w:sz w:val="21"/>
                <w:szCs w:val="21"/>
                <w:vertAlign w:val="baseline"/>
                <w:lang w:val="en-US" w:eastAsia="zh-CN" w:bidi="ar"/>
              </w:rPr>
              <w:t>3</w:t>
            </w:r>
            <w:r>
              <w:rPr>
                <w:rFonts w:hint="eastAsia" w:ascii="Times New Roman" w:hAnsi="Times New Roman" w:eastAsia="宋体" w:cs="宋体"/>
                <w:color w:val="000000"/>
                <w:kern w:val="0"/>
                <w:sz w:val="21"/>
                <w:szCs w:val="21"/>
                <w:vertAlign w:val="baseline"/>
                <w:lang w:val="en-US" w:eastAsia="zh-CN" w:bidi="ar"/>
              </w:rPr>
              <w:t>5</w:t>
            </w:r>
          </w:p>
        </w:tc>
        <w:tc>
          <w:tcPr>
            <w:tcW w:w="1013" w:type="pct"/>
            <w:shd w:val="clear" w:color="auto" w:fill="auto"/>
            <w:vAlign w:val="center"/>
          </w:tcPr>
          <w:p w14:paraId="03B2FA3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943" w:type="pct"/>
            <w:shd w:val="clear" w:color="auto" w:fill="auto"/>
            <w:vAlign w:val="center"/>
          </w:tcPr>
          <w:p w14:paraId="0E1CDE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960" w:type="pct"/>
            <w:shd w:val="clear" w:color="auto" w:fill="auto"/>
            <w:vAlign w:val="center"/>
          </w:tcPr>
          <w:p w14:paraId="2A5AFC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31C5C433">
      <w:pPr>
        <w:keepNext w:val="0"/>
        <w:keepLines w:val="0"/>
        <w:widowControl/>
        <w:suppressLineNumbers w:val="0"/>
        <w:ind w:firstLine="422" w:firstLineChars="200"/>
        <w:jc w:val="left"/>
        <w:rPr>
          <w:rFonts w:hint="eastAsia" w:ascii="Times New Roman" w:hAnsi="Times New Roman" w:eastAsia="宋体" w:cs="宋体"/>
          <w:b/>
          <w:bCs/>
          <w:kern w:val="0"/>
          <w:sz w:val="21"/>
          <w:szCs w:val="21"/>
          <w:lang w:val="en-US" w:eastAsia="zh-CN" w:bidi="ar-SA"/>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1D1A5797">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二、样本处理方法 </w:t>
      </w:r>
    </w:p>
    <w:p w14:paraId="691FDDAC">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样</w:t>
      </w:r>
      <w:r>
        <w:rPr>
          <w:rFonts w:hint="eastAsia" w:ascii="Times New Roman" w:hAnsi="Times New Roman" w:eastAsia="宋体" w:cs="宋体"/>
          <w:highlight w:val="none"/>
          <w:lang w:val="en-US" w:eastAsia="zh-CN"/>
        </w:rPr>
        <w:t>本</w:t>
      </w:r>
      <w:r>
        <w:rPr>
          <w:rFonts w:hint="eastAsia" w:ascii="Times New Roman" w:hAnsi="Times New Roman" w:eastAsia="宋体" w:cs="宋体"/>
          <w:highlight w:val="none"/>
        </w:rPr>
        <w:t>保存方法：室间质评</w:t>
      </w:r>
      <w:r>
        <w:rPr>
          <w:rFonts w:hint="eastAsia" w:ascii="Times New Roman" w:hAnsi="Times New Roman" w:eastAsia="宋体" w:cs="宋体"/>
          <w:highlight w:val="none"/>
          <w:lang w:eastAsia="zh-CN"/>
        </w:rPr>
        <w:t>样本</w:t>
      </w:r>
      <w:r>
        <w:rPr>
          <w:rFonts w:hint="eastAsia" w:ascii="Times New Roman" w:hAnsi="Times New Roman" w:eastAsia="宋体" w:cs="宋体"/>
          <w:highlight w:val="none"/>
        </w:rPr>
        <w:t>未开封可保存于-20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以下。该质控品使用时待完全融化且平衡至室温，颠倒5次以上混匀后或者复溶后方可使用；如果当日未用完且无污染，可-20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℃以下保存，须在1月内用完；此外，应避免反复冻融和重新分装。</w:t>
      </w:r>
    </w:p>
    <w:p w14:paraId="129C476A">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lang w:val="en-US" w:eastAsia="zh-CN"/>
        </w:rPr>
        <w:t>）</w:t>
      </w:r>
      <w:r>
        <w:rPr>
          <w:rFonts w:hint="eastAsia" w:ascii="Times New Roman" w:hAnsi="Times New Roman" w:eastAsia="宋体" w:cs="宋体"/>
        </w:rPr>
        <w:t>样</w:t>
      </w:r>
      <w:r>
        <w:rPr>
          <w:rFonts w:hint="eastAsia" w:ascii="Times New Roman" w:hAnsi="Times New Roman" w:eastAsia="宋体" w:cs="宋体"/>
          <w:lang w:val="en-US" w:eastAsia="zh-CN"/>
        </w:rPr>
        <w:t>本</w:t>
      </w:r>
      <w:r>
        <w:rPr>
          <w:rFonts w:hint="eastAsia" w:ascii="Times New Roman" w:hAnsi="Times New Roman" w:eastAsia="宋体" w:cs="宋体"/>
        </w:rPr>
        <w:t>处理方法：质评</w:t>
      </w:r>
      <w:r>
        <w:rPr>
          <w:rFonts w:hint="eastAsia" w:ascii="Times New Roman" w:hAnsi="Times New Roman" w:eastAsia="宋体" w:cs="宋体"/>
          <w:lang w:eastAsia="zh-CN"/>
        </w:rPr>
        <w:t>样本</w:t>
      </w:r>
      <w:r>
        <w:rPr>
          <w:rFonts w:hint="eastAsia" w:ascii="Times New Roman" w:hAnsi="Times New Roman" w:eastAsia="宋体" w:cs="宋体"/>
        </w:rPr>
        <w:t>的检测方法应与病人标本相同，并以潜在传染性物品处理。</w:t>
      </w:r>
    </w:p>
    <w:p w14:paraId="1A706F75">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lang w:val="en-US" w:eastAsia="zh-CN"/>
        </w:rPr>
        <w:t>）样本检测要求：样</w:t>
      </w:r>
      <w:r>
        <w:rPr>
          <w:rFonts w:hint="eastAsia" w:ascii="Times New Roman" w:hAnsi="Times New Roman" w:eastAsia="宋体" w:cs="宋体"/>
          <w:lang w:val="en-US" w:eastAsia="zh-CN"/>
        </w:rPr>
        <w:t>本</w:t>
      </w:r>
      <w:r>
        <w:rPr>
          <w:rFonts w:hint="eastAsia" w:ascii="Times New Roman" w:hAnsi="Times New Roman" w:eastAsia="宋体" w:cs="宋体"/>
          <w:lang w:val="en-US" w:eastAsia="zh-CN"/>
        </w:rPr>
        <w:t>如有絮状或沉淀属正常现象，可先将</w:t>
      </w:r>
      <w:r>
        <w:rPr>
          <w:rFonts w:hint="eastAsia" w:ascii="Times New Roman" w:hAnsi="Times New Roman" w:eastAsia="宋体" w:cs="宋体"/>
          <w:lang w:val="en-US" w:eastAsia="zh-CN"/>
        </w:rPr>
        <w:t>样本</w:t>
      </w:r>
      <w:r>
        <w:rPr>
          <w:rFonts w:hint="eastAsia" w:ascii="Times New Roman" w:hAnsi="Times New Roman" w:eastAsia="宋体" w:cs="宋体"/>
          <w:lang w:val="en-US" w:eastAsia="zh-CN"/>
        </w:rPr>
        <w:t>混匀后，3000</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rpm离心5</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min取上清检测。实验室必须使用与检测患者标本一样的方式检</w:t>
      </w:r>
      <w:bookmarkStart w:id="3" w:name="_GoBack"/>
      <w:bookmarkEnd w:id="3"/>
      <w:r>
        <w:rPr>
          <w:rFonts w:hint="eastAsia" w:ascii="Times New Roman" w:hAnsi="Times New Roman" w:eastAsia="宋体" w:cs="宋体"/>
          <w:lang w:val="en-US" w:eastAsia="zh-CN"/>
        </w:rPr>
        <w:t>测室间质量评价样本（由常规检测人员测试，使用常规检测方法、仪器、试剂，检测次数与常规检测次数一致）。</w:t>
      </w:r>
    </w:p>
    <w:p w14:paraId="532392C0">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三、注意事项 </w:t>
      </w:r>
    </w:p>
    <w:p w14:paraId="7FF44CA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宋体"/>
          <w:lang w:val="en-US" w:eastAsia="zh-CN"/>
        </w:rPr>
        <w:t>1</w:t>
      </w:r>
      <w:r>
        <w:rPr>
          <w:rFonts w:hint="eastAsia" w:ascii="Times New Roman" w:hAnsi="Times New Roman" w:eastAsia="宋体" w:cs="宋体"/>
          <w:lang w:val="en-US" w:eastAsia="zh-CN"/>
        </w:rPr>
        <w:t>.</w:t>
      </w:r>
      <w:r>
        <w:rPr>
          <w:rFonts w:hint="eastAsia" w:ascii="Times New Roman" w:hAnsi="Times New Roman" w:eastAsia="宋体" w:cs="Times New Roman"/>
          <w:kern w:val="2"/>
          <w:sz w:val="21"/>
          <w:szCs w:val="20"/>
          <w:lang w:val="en-US" w:eastAsia="zh-CN" w:bidi="ar-SA"/>
        </w:rPr>
        <w:t xml:space="preserve"> 室间质评活动安排及注意事项、质评结果上报表、方法仪器试剂等编码表均可在广东省临床检验中心首页—质评资料—“2026 广东省室间质评各专业活动安排及编码下载”中查看并自行下载。 </w:t>
      </w:r>
    </w:p>
    <w:p w14:paraId="0EDE322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lang w:val="en-US" w:eastAsia="zh-CN"/>
        </w:rPr>
        <w:t>质评结果以</w:t>
      </w:r>
      <w:r>
        <w:rPr>
          <w:rFonts w:hint="eastAsia" w:ascii="Times New Roman" w:hAnsi="Times New Roman" w:eastAsia="宋体" w:cs="宋体"/>
        </w:rPr>
        <w:t>电子方式回报</w:t>
      </w:r>
      <w:r>
        <w:rPr>
          <w:rFonts w:hint="eastAsia" w:ascii="Times New Roman" w:hAnsi="Times New Roman" w:eastAsia="宋体" w:cs="宋体"/>
          <w:lang w:eastAsia="zh-CN"/>
        </w:rPr>
        <w:t>，</w:t>
      </w:r>
      <w:r>
        <w:rPr>
          <w:rFonts w:hint="eastAsia" w:ascii="Times New Roman" w:hAnsi="Times New Roman" w:eastAsia="宋体" w:cs="宋体"/>
        </w:rPr>
        <w:t>实验室</w:t>
      </w:r>
      <w:r>
        <w:rPr>
          <w:rFonts w:hint="eastAsia" w:ascii="Times New Roman" w:hAnsi="Times New Roman" w:cs="宋体"/>
          <w:lang w:eastAsia="zh-CN"/>
        </w:rPr>
        <w:t>登录</w:t>
      </w:r>
      <w:r>
        <w:rPr>
          <w:rFonts w:hint="eastAsia" w:ascii="Times New Roman" w:hAnsi="Times New Roman" w:eastAsia="宋体" w:cs="宋体"/>
        </w:rPr>
        <w:t>路径：</w:t>
      </w:r>
    </w:p>
    <w:p w14:paraId="52D8D22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color w:val="000000"/>
          <w:lang w:eastAsia="zh-CN"/>
        </w:rPr>
        <w:t>（</w:t>
      </w:r>
      <w:r>
        <w:rPr>
          <w:rFonts w:hint="eastAsia" w:ascii="Times New Roman" w:hAnsi="Times New Roman" w:eastAsia="宋体" w:cs="宋体"/>
          <w:color w:val="000000"/>
          <w:lang w:val="en-US" w:eastAsia="zh-CN"/>
        </w:rPr>
        <w:t>1）</w:t>
      </w:r>
      <w:r>
        <w:rPr>
          <w:rFonts w:hint="eastAsia" w:ascii="Times New Roman" w:hAnsi="Times New Roman" w:eastAsia="宋体" w:cs="宋体"/>
          <w:color w:val="000000"/>
        </w:rPr>
        <w:t>http://gdccl.clinet.com.cn在</w:t>
      </w:r>
      <w:r>
        <w:rPr>
          <w:rFonts w:hint="eastAsia" w:ascii="Times New Roman" w:hAnsi="Times New Roman" w:eastAsia="宋体" w:cs="宋体"/>
          <w:kern w:val="0"/>
          <w:szCs w:val="21"/>
        </w:rPr>
        <w:t>首页</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区内相应位置填写实验室用户名和密码，点击“</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”按钮进入EQA系统。</w:t>
      </w:r>
    </w:p>
    <w:p w14:paraId="0986C00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rPr>
        <w:t>http://www.clinet.com.cn</w:t>
      </w:r>
      <w:r>
        <w:rPr>
          <w:rFonts w:hint="eastAsia" w:ascii="Times New Roman" w:hAnsi="Times New Roman" w:eastAsia="宋体" w:cs="宋体"/>
          <w:color w:val="000000"/>
        </w:rPr>
        <w:t>在</w:t>
      </w:r>
      <w:r>
        <w:rPr>
          <w:rFonts w:hint="eastAsia" w:ascii="Times New Roman" w:hAnsi="Times New Roman" w:eastAsia="宋体" w:cs="宋体"/>
          <w:kern w:val="0"/>
          <w:szCs w:val="21"/>
        </w:rPr>
        <w:t>首页点击室间质评图标，弹出</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区后在相应位置填写实验室用户名和密码，点击“</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”按钮进入EQA系统。</w:t>
      </w:r>
    </w:p>
    <w:p w14:paraId="11A6F75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rPr>
        <w:t>两种路径都可进入广东省室间质评系统回报数据，实验室可根据网络情况选用。</w:t>
      </w:r>
    </w:p>
    <w:p w14:paraId="70DE897C">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FF0000"/>
        </w:rPr>
      </w:pPr>
      <w:r>
        <w:rPr>
          <w:rFonts w:hint="eastAsia" w:ascii="Times New Roman" w:hAnsi="Times New Roman" w:eastAsia="宋体" w:cs="宋体"/>
          <w:lang w:val="en-US" w:eastAsia="zh-CN"/>
        </w:rPr>
        <w:t>3.</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网上填写结果和编码时，应仔细审核，没有问题后再发送，提示发送成功后，</w:t>
      </w:r>
      <w:r>
        <w:rPr>
          <w:rFonts w:hint="eastAsia" w:ascii="Times New Roman" w:hAnsi="Times New Roman" w:eastAsia="宋体" w:cs="宋体"/>
          <w:b/>
          <w:bCs/>
          <w:color w:val="FF0000"/>
          <w:kern w:val="0"/>
          <w:sz w:val="21"/>
          <w:szCs w:val="21"/>
          <w:lang w:val="en-US" w:eastAsia="zh-CN" w:bidi="ar"/>
        </w:rPr>
        <w:t>必须到已上报数据栏进行结果的确认（必须步骤）。</w:t>
      </w:r>
    </w:p>
    <w:p w14:paraId="00CE50A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kern w:val="0"/>
          <w:szCs w:val="21"/>
          <w:lang w:val="en-US" w:eastAsia="zh-CN"/>
        </w:rPr>
        <w:t>4.</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kern w:val="0"/>
          <w:szCs w:val="21"/>
          <w:lang w:val="en-US" w:eastAsia="zh-CN"/>
        </w:rPr>
        <w:t>质评统计结果反馈，</w:t>
      </w:r>
      <w:r>
        <w:rPr>
          <w:rFonts w:hint="eastAsia" w:ascii="Times New Roman" w:hAnsi="Times New Roman" w:eastAsia="宋体" w:cs="宋体"/>
          <w:kern w:val="0"/>
          <w:szCs w:val="21"/>
        </w:rPr>
        <w:t>本年度的质评统计结果及年度质评证书以电子方式从网上反馈给实验室，不再打印纸质的统计结果表及汇总成绩表。</w:t>
      </w:r>
    </w:p>
    <w:p w14:paraId="5F6E5B28">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rPr>
      </w:pPr>
      <w:r>
        <w:rPr>
          <w:rFonts w:hint="eastAsia" w:ascii="Times New Roman" w:hAnsi="Times New Roman" w:eastAsia="宋体" w:cs="宋体"/>
          <w:color w:val="000000"/>
          <w:kern w:val="0"/>
          <w:sz w:val="21"/>
          <w:szCs w:val="21"/>
          <w:lang w:val="en-US" w:eastAsia="zh-CN" w:bidi="ar"/>
        </w:rPr>
        <w:t>5.</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室间质评活动中的专业问题可与分子免疫组联系</w:t>
      </w:r>
      <w:r>
        <w:rPr>
          <w:rFonts w:hint="eastAsia" w:ascii="Times New Roman" w:hAnsi="Times New Roman" w:eastAsia="宋体" w:cs="宋体"/>
          <w:color w:val="000000"/>
          <w:kern w:val="0"/>
          <w:sz w:val="21"/>
          <w:szCs w:val="21"/>
          <w:lang w:val="en-US" w:eastAsia="zh-CN" w:bidi="ar"/>
        </w:rPr>
        <w:t>：</w:t>
      </w:r>
      <w:r>
        <w:rPr>
          <w:rFonts w:hint="eastAsia" w:ascii="Times New Roman" w:hAnsi="Times New Roman" w:eastAsia="宋体" w:cs="宋体"/>
          <w:b w:val="0"/>
          <w:bCs w:val="0"/>
          <w:kern w:val="0"/>
          <w:sz w:val="21"/>
          <w:szCs w:val="21"/>
          <w:lang w:val="en-US" w:eastAsia="zh-CN" w:bidi="ar-SA"/>
        </w:rPr>
        <w:t>陈老师020-81881055，81922518。</w:t>
      </w:r>
    </w:p>
    <w:p w14:paraId="1540A642">
      <w:pPr>
        <w:keepNext w:val="0"/>
        <w:keepLines w:val="0"/>
        <w:pageBreakBefore w:val="0"/>
        <w:numPr>
          <w:ilvl w:val="0"/>
          <w:numId w:val="0"/>
        </w:numPr>
        <w:kinsoku/>
        <w:wordWrap/>
        <w:overflowPunct/>
        <w:topLinePunct w:val="0"/>
        <w:autoSpaceDE/>
        <w:autoSpaceDN/>
        <w:bidi w:val="0"/>
        <w:adjustRightInd/>
        <w:snapToGrid w:val="0"/>
        <w:spacing w:line="324" w:lineRule="auto"/>
        <w:ind w:firstLine="420" w:firstLineChars="200"/>
        <w:textAlignment w:val="auto"/>
        <w:rPr>
          <w:rFonts w:ascii="Times New Roman" w:hAnsi="Times New Roman" w:eastAsia="宋体"/>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0NjIyOGIyYWZmNmNhMTU0NTM0NGVkYzY3YjA0MjkifQ=="/>
  </w:docVars>
  <w:rsids>
    <w:rsidRoot w:val="005F3B95"/>
    <w:rsid w:val="00003308"/>
    <w:rsid w:val="00035D42"/>
    <w:rsid w:val="000978C4"/>
    <w:rsid w:val="000D5CCF"/>
    <w:rsid w:val="000D6F2E"/>
    <w:rsid w:val="000F3016"/>
    <w:rsid w:val="00110D77"/>
    <w:rsid w:val="001B07F1"/>
    <w:rsid w:val="002239A1"/>
    <w:rsid w:val="0025726C"/>
    <w:rsid w:val="00296045"/>
    <w:rsid w:val="0030448E"/>
    <w:rsid w:val="0038643D"/>
    <w:rsid w:val="003C1B7A"/>
    <w:rsid w:val="003F6E47"/>
    <w:rsid w:val="00405825"/>
    <w:rsid w:val="004303AF"/>
    <w:rsid w:val="004532EE"/>
    <w:rsid w:val="00490405"/>
    <w:rsid w:val="004B0D84"/>
    <w:rsid w:val="00507A40"/>
    <w:rsid w:val="00544FA5"/>
    <w:rsid w:val="005C35E3"/>
    <w:rsid w:val="005F3B95"/>
    <w:rsid w:val="00633525"/>
    <w:rsid w:val="00634CE3"/>
    <w:rsid w:val="00690CCA"/>
    <w:rsid w:val="007A2018"/>
    <w:rsid w:val="007D6059"/>
    <w:rsid w:val="00892424"/>
    <w:rsid w:val="009504B8"/>
    <w:rsid w:val="00991C42"/>
    <w:rsid w:val="009C1019"/>
    <w:rsid w:val="009F2FD0"/>
    <w:rsid w:val="00A50554"/>
    <w:rsid w:val="00A6285A"/>
    <w:rsid w:val="00A70D3E"/>
    <w:rsid w:val="00AE2479"/>
    <w:rsid w:val="00B35CCC"/>
    <w:rsid w:val="00B4290C"/>
    <w:rsid w:val="00B5465C"/>
    <w:rsid w:val="00BF61C5"/>
    <w:rsid w:val="00C658AE"/>
    <w:rsid w:val="00CD4897"/>
    <w:rsid w:val="00E61BC7"/>
    <w:rsid w:val="00EB451D"/>
    <w:rsid w:val="00EC13BE"/>
    <w:rsid w:val="00EC456B"/>
    <w:rsid w:val="00F7216F"/>
    <w:rsid w:val="00FD1BE6"/>
    <w:rsid w:val="00FF46FE"/>
    <w:rsid w:val="0A0B70F1"/>
    <w:rsid w:val="122420AB"/>
    <w:rsid w:val="134A5F83"/>
    <w:rsid w:val="171D0B93"/>
    <w:rsid w:val="18617F75"/>
    <w:rsid w:val="288B178E"/>
    <w:rsid w:val="2A993488"/>
    <w:rsid w:val="32292933"/>
    <w:rsid w:val="412B24BB"/>
    <w:rsid w:val="4BCE73CB"/>
    <w:rsid w:val="517E0A47"/>
    <w:rsid w:val="523D458D"/>
    <w:rsid w:val="5B386973"/>
    <w:rsid w:val="601A248C"/>
    <w:rsid w:val="71154BC0"/>
    <w:rsid w:val="7C6E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D3BE-188F-4319-AB66-F4AE808C82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1002</Words>
  <Characters>1224</Characters>
  <Lines>4</Lines>
  <Paragraphs>1</Paragraphs>
  <TotalTime>0</TotalTime>
  <ScaleCrop>false</ScaleCrop>
  <LinksUpToDate>false</LinksUpToDate>
  <CharactersWithSpaces>1237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2026-02-26T07:05:55Z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CBA0C149A7B14C8E820BD3D08E1C9292_12</vt:lpwstr>
  </property>
  <property fmtid="{D5CDD505-2E9C-101B-9397-08002B2CF9AE}" pid="4" name="KSOTemplateDocerSaveRecord">
    <vt:lpwstr>eyJoZGlkIjoiZjMzYTEzNjA0MmM0YTIxM2FkZDdlMDU3NzI2MzQ0YzEiLCJ1c2VySWQiOiIzNjA0OTEwOTAifQ==</vt:lpwstr>
  </property>
</Properties>
</file>