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F9729">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b/>
          <w:sz w:val="44"/>
          <w:szCs w:val="44"/>
        </w:rPr>
      </w:pPr>
      <w:r>
        <w:rPr>
          <w:rFonts w:hint="eastAsia" w:ascii="Times New Roman" w:hAnsi="Times New Roman" w:eastAsia="宋体"/>
          <w:b/>
          <w:sz w:val="44"/>
          <w:szCs w:val="44"/>
        </w:rPr>
        <w:t>广东省202</w:t>
      </w:r>
      <w:r>
        <w:rPr>
          <w:rFonts w:hint="eastAsia" w:ascii="Times New Roman" w:hAnsi="Times New Roman" w:eastAsia="宋体"/>
          <w:b/>
          <w:sz w:val="44"/>
          <w:szCs w:val="44"/>
          <w:lang w:val="en-US" w:eastAsia="zh-CN"/>
        </w:rPr>
        <w:t>6</w:t>
      </w:r>
      <w:r>
        <w:rPr>
          <w:rFonts w:hint="eastAsia" w:ascii="Times New Roman" w:hAnsi="Times New Roman" w:eastAsia="宋体"/>
          <w:b/>
          <w:sz w:val="44"/>
          <w:szCs w:val="44"/>
        </w:rPr>
        <w:t>年</w:t>
      </w:r>
      <w:r>
        <w:rPr>
          <w:rFonts w:hint="eastAsia" w:ascii="Times New Roman" w:hAnsi="Times New Roman" w:eastAsia="宋体" w:cs="Times New Roman"/>
          <w:b/>
          <w:sz w:val="44"/>
          <w:szCs w:val="44"/>
        </w:rPr>
        <w:t>血型</w:t>
      </w:r>
      <w:r>
        <w:rPr>
          <w:rFonts w:hint="eastAsia" w:ascii="Times New Roman" w:hAnsi="Times New Roman" w:eastAsia="宋体"/>
          <w:b/>
          <w:sz w:val="44"/>
          <w:szCs w:val="44"/>
        </w:rPr>
        <w:t>室</w:t>
      </w:r>
      <w:r>
        <w:rPr>
          <w:rFonts w:hint="eastAsia" w:ascii="Times New Roman" w:hAnsi="Times New Roman" w:eastAsia="宋体" w:cs="Times New Roman"/>
          <w:b/>
          <w:sz w:val="44"/>
          <w:szCs w:val="44"/>
        </w:rPr>
        <w:t>间质量评价</w:t>
      </w:r>
    </w:p>
    <w:p w14:paraId="164DB74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sz w:val="44"/>
          <w:szCs w:val="44"/>
        </w:rPr>
      </w:pPr>
      <w:r>
        <w:rPr>
          <w:rFonts w:hint="eastAsia" w:ascii="Times New Roman" w:hAnsi="Times New Roman" w:eastAsia="宋体" w:cs="Times New Roman"/>
          <w:b/>
          <w:sz w:val="44"/>
          <w:szCs w:val="44"/>
        </w:rPr>
        <w:t>活动安排及注意事项</w:t>
      </w:r>
    </w:p>
    <w:p w14:paraId="23927C0A">
      <w:pPr>
        <w:spacing w:beforeLines="50"/>
        <w:rPr>
          <w:rFonts w:ascii="Times New Roman" w:hAnsi="Times New Roman" w:eastAsia="宋体" w:cs="Times New Roman"/>
          <w:b/>
          <w:bCs/>
          <w:szCs w:val="21"/>
        </w:rPr>
      </w:pPr>
      <w:r>
        <w:rPr>
          <w:rFonts w:hint="eastAsia" w:ascii="Times New Roman" w:hAnsi="Times New Roman" w:eastAsia="宋体" w:cs="Times New Roman"/>
          <w:b/>
          <w:bCs/>
          <w:szCs w:val="21"/>
        </w:rPr>
        <w:t>一、质量评价项目与时间表</w:t>
      </w:r>
    </w:p>
    <w:p w14:paraId="5C496AD5">
      <w:pPr>
        <w:pStyle w:val="7"/>
        <w:numPr>
          <w:ilvl w:val="0"/>
          <w:numId w:val="1"/>
        </w:numPr>
        <w:rPr>
          <w:rFonts w:ascii="Times New Roman" w:hAnsi="Times New Roman" w:eastAsia="宋体" w:cs="Times New Roman"/>
          <w:sz w:val="21"/>
          <w:szCs w:val="21"/>
        </w:rPr>
      </w:pPr>
      <w:r>
        <w:rPr>
          <w:rFonts w:hint="eastAsia" w:ascii="Times New Roman" w:hAnsi="Times New Roman" w:eastAsia="宋体" w:cs="Times New Roman"/>
          <w:sz w:val="21"/>
          <w:szCs w:val="21"/>
        </w:rPr>
        <w:t>评价项目：</w:t>
      </w:r>
      <w:r>
        <w:rPr>
          <w:rFonts w:hint="eastAsia" w:ascii="Times New Roman" w:hAnsi="Times New Roman" w:eastAsia="宋体"/>
          <w:color w:val="000000"/>
          <w:sz w:val="21"/>
          <w:szCs w:val="21"/>
        </w:rPr>
        <w:t>红细胞</w:t>
      </w:r>
      <w:r>
        <w:rPr>
          <w:rFonts w:ascii="Times New Roman" w:hAnsi="Times New Roman" w:eastAsia="宋体"/>
          <w:color w:val="000000"/>
          <w:sz w:val="21"/>
          <w:szCs w:val="21"/>
        </w:rPr>
        <w:t>ABO</w:t>
      </w:r>
      <w:r>
        <w:rPr>
          <w:rFonts w:hint="eastAsia" w:ascii="Times New Roman" w:hAnsi="Times New Roman" w:eastAsia="宋体"/>
          <w:color w:val="000000"/>
          <w:sz w:val="21"/>
          <w:szCs w:val="21"/>
        </w:rPr>
        <w:t>分型（正反定型）、</w:t>
      </w:r>
      <w:r>
        <w:rPr>
          <w:rFonts w:ascii="Times New Roman" w:hAnsi="Times New Roman" w:eastAsia="宋体"/>
          <w:color w:val="000000"/>
          <w:sz w:val="21"/>
          <w:szCs w:val="21"/>
        </w:rPr>
        <w:t>RH</w:t>
      </w:r>
      <w:r>
        <w:rPr>
          <w:rFonts w:hint="eastAsia" w:ascii="Times New Roman" w:hAnsi="Times New Roman" w:eastAsia="宋体"/>
          <w:color w:val="000000"/>
          <w:sz w:val="21"/>
          <w:szCs w:val="21"/>
        </w:rPr>
        <w:t>分型。</w:t>
      </w:r>
    </w:p>
    <w:p w14:paraId="3DBD0E6B">
      <w:pPr>
        <w:pStyle w:val="7"/>
        <w:numPr>
          <w:ilvl w:val="0"/>
          <w:numId w:val="1"/>
        </w:numPr>
        <w:rPr>
          <w:rFonts w:ascii="Times New Roman" w:hAnsi="Times New Roman" w:eastAsia="宋体" w:cs="Times New Roman"/>
          <w:sz w:val="21"/>
          <w:szCs w:val="21"/>
        </w:rPr>
      </w:pPr>
      <w:r>
        <w:rPr>
          <w:rFonts w:hint="eastAsia" w:ascii="Times New Roman" w:hAnsi="Times New Roman" w:eastAsia="宋体"/>
          <w:sz w:val="21"/>
          <w:szCs w:val="21"/>
        </w:rPr>
        <w:t>全年开展两次</w:t>
      </w:r>
      <w:r>
        <w:rPr>
          <w:rFonts w:hint="eastAsia" w:ascii="Times New Roman" w:hAnsi="Times New Roman" w:eastAsia="宋体" w:cs="Times New Roman"/>
          <w:sz w:val="21"/>
          <w:szCs w:val="21"/>
        </w:rPr>
        <w:t>室间质量评价活动</w:t>
      </w:r>
      <w:r>
        <w:rPr>
          <w:rFonts w:hint="eastAsia" w:ascii="Times New Roman" w:hAnsi="Times New Roman" w:eastAsia="宋体"/>
          <w:sz w:val="21"/>
          <w:szCs w:val="21"/>
        </w:rPr>
        <w:t>，每次测定</w:t>
      </w:r>
      <w:r>
        <w:rPr>
          <w:rFonts w:hint="eastAsia" w:ascii="Times New Roman" w:hAnsi="Times New Roman" w:eastAsia="宋体" w:cs="Times New Roman"/>
          <w:sz w:val="21"/>
          <w:szCs w:val="21"/>
        </w:rPr>
        <w:t>10个</w:t>
      </w:r>
      <w:r>
        <w:rPr>
          <w:rFonts w:hint="eastAsia" w:ascii="Times New Roman" w:hAnsi="Times New Roman" w:eastAsia="宋体"/>
          <w:sz w:val="21"/>
          <w:szCs w:val="21"/>
        </w:rPr>
        <w:t>样本</w:t>
      </w:r>
      <w:r>
        <w:rPr>
          <w:rFonts w:hint="eastAsia" w:ascii="Times New Roman" w:hAnsi="Times New Roman" w:eastAsia="宋体" w:cs="Times New Roman"/>
          <w:sz w:val="21"/>
          <w:szCs w:val="21"/>
        </w:rPr>
        <w:t>。</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4826"/>
        <w:gridCol w:w="1341"/>
        <w:gridCol w:w="1265"/>
        <w:gridCol w:w="1265"/>
      </w:tblGrid>
      <w:tr w14:paraId="61E1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35" w:type="pct"/>
            <w:vAlign w:val="center"/>
          </w:tcPr>
          <w:p w14:paraId="4C1AB25C">
            <w:pPr>
              <w:jc w:val="center"/>
              <w:rPr>
                <w:rFonts w:ascii="Times New Roman" w:hAnsi="Times New Roman" w:eastAsia="宋体" w:cs="Times New Roman"/>
                <w:szCs w:val="21"/>
              </w:rPr>
            </w:pPr>
            <w:r>
              <w:rPr>
                <w:rFonts w:ascii="Times New Roman" w:hAnsi="Times New Roman" w:eastAsia="宋体" w:cs="Times New Roman"/>
                <w:szCs w:val="21"/>
              </w:rPr>
              <w:t>活动次数</w:t>
            </w:r>
          </w:p>
        </w:tc>
        <w:tc>
          <w:tcPr>
            <w:tcW w:w="2422" w:type="pct"/>
            <w:vAlign w:val="center"/>
          </w:tcPr>
          <w:p w14:paraId="5FB0CA04">
            <w:pPr>
              <w:jc w:val="center"/>
              <w:rPr>
                <w:rFonts w:ascii="Times New Roman" w:hAnsi="Times New Roman" w:eastAsia="宋体" w:cs="Times New Roman"/>
                <w:szCs w:val="21"/>
              </w:rPr>
            </w:pPr>
            <w:r>
              <w:rPr>
                <w:rFonts w:ascii="Times New Roman" w:hAnsi="Times New Roman" w:eastAsia="宋体" w:cs="Times New Roman"/>
                <w:szCs w:val="21"/>
              </w:rPr>
              <w:t>批号</w:t>
            </w:r>
          </w:p>
        </w:tc>
        <w:tc>
          <w:tcPr>
            <w:tcW w:w="673" w:type="pct"/>
            <w:vAlign w:val="center"/>
          </w:tcPr>
          <w:p w14:paraId="1BDF0AC2">
            <w:pPr>
              <w:ind w:left="-107" w:leftChars="-51"/>
              <w:jc w:val="center"/>
              <w:rPr>
                <w:rFonts w:ascii="Times New Roman" w:hAnsi="Times New Roman" w:eastAsia="宋体" w:cs="Times New Roman"/>
                <w:szCs w:val="21"/>
              </w:rPr>
            </w:pPr>
            <w:r>
              <w:rPr>
                <w:rFonts w:hint="eastAsia" w:ascii="Times New Roman" w:hAnsi="Times New Roman" w:eastAsia="宋体" w:cs="Times New Roman"/>
                <w:szCs w:val="21"/>
              </w:rPr>
              <w:t>样品</w:t>
            </w:r>
            <w:r>
              <w:rPr>
                <w:rFonts w:ascii="Times New Roman" w:hAnsi="Times New Roman" w:eastAsia="宋体" w:cs="Times New Roman"/>
                <w:szCs w:val="21"/>
              </w:rPr>
              <w:t>建议</w:t>
            </w:r>
          </w:p>
          <w:p w14:paraId="7E1DF1BA">
            <w:pPr>
              <w:ind w:left="-107" w:leftChars="-51"/>
              <w:jc w:val="center"/>
              <w:rPr>
                <w:rFonts w:ascii="Times New Roman" w:hAnsi="Times New Roman" w:eastAsia="宋体" w:cs="Times New Roman"/>
                <w:szCs w:val="21"/>
              </w:rPr>
            </w:pPr>
            <w:r>
              <w:rPr>
                <w:rFonts w:ascii="Times New Roman" w:hAnsi="Times New Roman" w:eastAsia="宋体" w:cs="Times New Roman"/>
                <w:szCs w:val="21"/>
              </w:rPr>
              <w:t>测定日期</w:t>
            </w:r>
          </w:p>
        </w:tc>
        <w:tc>
          <w:tcPr>
            <w:tcW w:w="635" w:type="pct"/>
            <w:vAlign w:val="center"/>
          </w:tcPr>
          <w:p w14:paraId="5B298007">
            <w:pPr>
              <w:jc w:val="center"/>
              <w:rPr>
                <w:rFonts w:ascii="Times New Roman" w:hAnsi="Times New Roman" w:eastAsia="宋体" w:cs="Times New Roman"/>
                <w:szCs w:val="21"/>
              </w:rPr>
            </w:pPr>
            <w:r>
              <w:rPr>
                <w:rFonts w:hint="eastAsia" w:ascii="Times New Roman" w:hAnsi="Times New Roman" w:eastAsia="宋体" w:cs="Times New Roman"/>
                <w:szCs w:val="21"/>
              </w:rPr>
              <w:t>结果上报</w:t>
            </w:r>
          </w:p>
          <w:p w14:paraId="6F49C9F8">
            <w:pPr>
              <w:jc w:val="center"/>
              <w:rPr>
                <w:rFonts w:ascii="Times New Roman" w:hAnsi="Times New Roman" w:eastAsia="宋体" w:cs="Times New Roman"/>
                <w:szCs w:val="21"/>
              </w:rPr>
            </w:pPr>
            <w:r>
              <w:rPr>
                <w:rFonts w:ascii="Times New Roman" w:hAnsi="Times New Roman" w:eastAsia="宋体" w:cs="Times New Roman"/>
                <w:szCs w:val="21"/>
              </w:rPr>
              <w:t>截止日期</w:t>
            </w:r>
          </w:p>
        </w:tc>
        <w:tc>
          <w:tcPr>
            <w:tcW w:w="635" w:type="pct"/>
            <w:vAlign w:val="center"/>
          </w:tcPr>
          <w:p w14:paraId="5057FB7D">
            <w:pPr>
              <w:jc w:val="center"/>
              <w:rPr>
                <w:rFonts w:ascii="Times New Roman" w:hAnsi="Times New Roman" w:eastAsia="宋体" w:cs="Times New Roman"/>
                <w:szCs w:val="21"/>
              </w:rPr>
            </w:pPr>
            <w:r>
              <w:rPr>
                <w:rFonts w:hint="eastAsia" w:ascii="Times New Roman" w:hAnsi="Times New Roman" w:eastAsia="宋体" w:cs="Times New Roman"/>
                <w:szCs w:val="21"/>
              </w:rPr>
              <w:t>质评成绩</w:t>
            </w:r>
          </w:p>
          <w:p w14:paraId="4B6547B6">
            <w:pPr>
              <w:jc w:val="center"/>
              <w:rPr>
                <w:rFonts w:ascii="Times New Roman" w:hAnsi="Times New Roman" w:eastAsia="宋体" w:cs="Times New Roman"/>
                <w:szCs w:val="21"/>
              </w:rPr>
            </w:pPr>
            <w:r>
              <w:rPr>
                <w:rFonts w:hint="eastAsia" w:ascii="Times New Roman" w:hAnsi="Times New Roman" w:eastAsia="宋体" w:cs="Times New Roman"/>
                <w:szCs w:val="21"/>
              </w:rPr>
              <w:t>下发</w:t>
            </w:r>
            <w:r>
              <w:rPr>
                <w:rFonts w:ascii="Times New Roman" w:hAnsi="Times New Roman" w:eastAsia="宋体" w:cs="Times New Roman"/>
                <w:szCs w:val="21"/>
              </w:rPr>
              <w:t>日期</w:t>
            </w:r>
          </w:p>
        </w:tc>
      </w:tr>
      <w:tr w14:paraId="2369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vAlign w:val="center"/>
          </w:tcPr>
          <w:p w14:paraId="17783243">
            <w:pPr>
              <w:spacing w:line="300" w:lineRule="auto"/>
              <w:ind w:left="-141" w:leftChars="-67"/>
              <w:jc w:val="center"/>
              <w:rPr>
                <w:rFonts w:ascii="Times New Roman" w:hAnsi="Times New Roman" w:eastAsia="宋体" w:cs="Times New Roman"/>
                <w:szCs w:val="21"/>
              </w:rPr>
            </w:pPr>
            <w:r>
              <w:rPr>
                <w:rFonts w:ascii="Times New Roman" w:hAnsi="Times New Roman" w:eastAsia="宋体" w:cs="Times New Roman"/>
              </w:rPr>
              <w:t>第一次</w:t>
            </w:r>
          </w:p>
        </w:tc>
        <w:tc>
          <w:tcPr>
            <w:tcW w:w="2422" w:type="pct"/>
            <w:vAlign w:val="center"/>
          </w:tcPr>
          <w:p w14:paraId="5560A8F4">
            <w:pPr>
              <w:spacing w:line="300" w:lineRule="auto"/>
              <w:ind w:left="31" w:leftChars="15"/>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eastAsia="zh-CN"/>
              </w:rPr>
              <w:t>2026</w:t>
            </w:r>
            <w:r>
              <w:rPr>
                <w:rFonts w:hint="eastAsia" w:ascii="Times New Roman" w:hAnsi="Times New Roman" w:eastAsia="宋体" w:cs="Times New Roman"/>
                <w:sz w:val="18"/>
                <w:szCs w:val="18"/>
              </w:rPr>
              <w:t>0101</w:t>
            </w:r>
            <w:r>
              <w:rPr>
                <w:rFonts w:ascii="Times New Roman" w:hAnsi="Times New Roman" w:eastAsia="宋体" w:cs="Times New Roman"/>
                <w:sz w:val="18"/>
                <w:szCs w:val="18"/>
              </w:rPr>
              <w:t>,</w:t>
            </w:r>
            <w:r>
              <w:rPr>
                <w:rFonts w:hint="eastAsia" w:ascii="Times New Roman" w:hAnsi="Times New Roman" w:eastAsia="宋体" w:cs="Times New Roman"/>
                <w:sz w:val="18"/>
                <w:szCs w:val="18"/>
                <w:lang w:eastAsia="zh-CN"/>
              </w:rPr>
              <w:t>2026</w:t>
            </w:r>
            <w:r>
              <w:rPr>
                <w:rFonts w:hint="eastAsia" w:ascii="Times New Roman" w:hAnsi="Times New Roman" w:eastAsia="宋体" w:cs="Times New Roman"/>
                <w:sz w:val="18"/>
                <w:szCs w:val="18"/>
              </w:rPr>
              <w:t>0102,</w:t>
            </w:r>
            <w:r>
              <w:rPr>
                <w:rFonts w:hint="eastAsia" w:ascii="Times New Roman" w:hAnsi="Times New Roman" w:eastAsia="宋体" w:cs="Times New Roman"/>
                <w:sz w:val="18"/>
                <w:szCs w:val="18"/>
                <w:lang w:eastAsia="zh-CN"/>
              </w:rPr>
              <w:t>2026</w:t>
            </w:r>
            <w:r>
              <w:rPr>
                <w:rFonts w:hint="eastAsia" w:ascii="Times New Roman" w:hAnsi="Times New Roman" w:eastAsia="宋体" w:cs="Times New Roman"/>
                <w:sz w:val="18"/>
                <w:szCs w:val="18"/>
              </w:rPr>
              <w:t>0103</w:t>
            </w:r>
            <w:r>
              <w:rPr>
                <w:rFonts w:ascii="Times New Roman" w:hAnsi="Times New Roman" w:eastAsia="宋体" w:cs="Times New Roman"/>
                <w:sz w:val="18"/>
                <w:szCs w:val="18"/>
              </w:rPr>
              <w:t>,</w:t>
            </w:r>
            <w:r>
              <w:rPr>
                <w:rFonts w:hint="eastAsia" w:ascii="Times New Roman" w:hAnsi="Times New Roman" w:eastAsia="宋体" w:cs="Times New Roman"/>
                <w:sz w:val="18"/>
                <w:szCs w:val="18"/>
                <w:lang w:eastAsia="zh-CN"/>
              </w:rPr>
              <w:t>2026</w:t>
            </w:r>
            <w:r>
              <w:rPr>
                <w:rFonts w:hint="eastAsia" w:ascii="Times New Roman" w:hAnsi="Times New Roman" w:eastAsia="宋体" w:cs="Times New Roman"/>
                <w:sz w:val="18"/>
                <w:szCs w:val="18"/>
              </w:rPr>
              <w:t>0104</w:t>
            </w:r>
            <w:r>
              <w:rPr>
                <w:rFonts w:ascii="Times New Roman" w:hAnsi="Times New Roman" w:eastAsia="宋体" w:cs="Times New Roman"/>
                <w:sz w:val="18"/>
                <w:szCs w:val="18"/>
              </w:rPr>
              <w:t>,</w:t>
            </w:r>
            <w:r>
              <w:rPr>
                <w:rFonts w:hint="eastAsia" w:ascii="Times New Roman" w:hAnsi="Times New Roman" w:eastAsia="宋体" w:cs="Times New Roman"/>
                <w:sz w:val="18"/>
                <w:szCs w:val="18"/>
                <w:lang w:eastAsia="zh-CN"/>
              </w:rPr>
              <w:t>2026</w:t>
            </w:r>
            <w:r>
              <w:rPr>
                <w:rFonts w:hint="eastAsia" w:ascii="Times New Roman" w:hAnsi="Times New Roman" w:eastAsia="宋体" w:cs="Times New Roman"/>
                <w:sz w:val="18"/>
                <w:szCs w:val="18"/>
              </w:rPr>
              <w:t>0105</w:t>
            </w:r>
          </w:p>
        </w:tc>
        <w:tc>
          <w:tcPr>
            <w:tcW w:w="1341" w:type="dxa"/>
            <w:vAlign w:val="top"/>
          </w:tcPr>
          <w:p w14:paraId="20353358">
            <w:pPr>
              <w:spacing w:line="300" w:lineRule="auto"/>
              <w:ind w:left="31" w:leftChars="15"/>
              <w:jc w:val="center"/>
              <w:rPr>
                <w:rFonts w:hint="eastAsia" w:ascii="Times New Roman" w:hAnsi="Times New Roman" w:eastAsia="宋体" w:cs="Times New Roman"/>
                <w:sz w:val="18"/>
                <w:szCs w:val="18"/>
              </w:rPr>
            </w:pPr>
            <w:r>
              <w:rPr>
                <w:rFonts w:hint="default" w:ascii="Times New Roman" w:hAnsi="Times New Roman" w:eastAsia="宋体" w:cs="Times New Roman"/>
                <w:sz w:val="18"/>
                <w:szCs w:val="18"/>
                <w:lang w:eastAsia="zh-CN"/>
              </w:rPr>
              <w:t>3月13日</w:t>
            </w:r>
          </w:p>
        </w:tc>
        <w:tc>
          <w:tcPr>
            <w:tcW w:w="1265" w:type="dxa"/>
            <w:vAlign w:val="top"/>
          </w:tcPr>
          <w:p w14:paraId="74D19A0E">
            <w:pPr>
              <w:spacing w:line="300" w:lineRule="auto"/>
              <w:ind w:left="31" w:leftChars="15"/>
              <w:jc w:val="center"/>
              <w:rPr>
                <w:rFonts w:hint="eastAsia" w:ascii="Times New Roman" w:hAnsi="Times New Roman" w:eastAsia="宋体" w:cs="Times New Roman"/>
                <w:sz w:val="18"/>
                <w:szCs w:val="18"/>
              </w:rPr>
            </w:pPr>
            <w:r>
              <w:rPr>
                <w:rFonts w:hint="default" w:ascii="Times New Roman" w:hAnsi="Times New Roman" w:eastAsia="宋体" w:cs="Times New Roman"/>
                <w:sz w:val="18"/>
                <w:szCs w:val="18"/>
                <w:lang w:eastAsia="zh-CN"/>
              </w:rPr>
              <w:t>3月27日</w:t>
            </w:r>
          </w:p>
        </w:tc>
        <w:tc>
          <w:tcPr>
            <w:tcW w:w="1265" w:type="dxa"/>
            <w:vAlign w:val="top"/>
          </w:tcPr>
          <w:p w14:paraId="637124A7">
            <w:pPr>
              <w:spacing w:line="300" w:lineRule="auto"/>
              <w:ind w:left="31" w:leftChars="15"/>
              <w:jc w:val="center"/>
              <w:rPr>
                <w:rFonts w:hint="eastAsia" w:ascii="Times New Roman" w:hAnsi="Times New Roman" w:eastAsia="宋体" w:cs="Times New Roman"/>
                <w:sz w:val="18"/>
                <w:szCs w:val="18"/>
              </w:rPr>
            </w:pPr>
            <w:r>
              <w:rPr>
                <w:rFonts w:hint="default" w:ascii="Times New Roman" w:hAnsi="Times New Roman" w:eastAsia="宋体" w:cs="Times New Roman"/>
                <w:sz w:val="18"/>
                <w:szCs w:val="18"/>
                <w:lang w:eastAsia="zh-CN"/>
              </w:rPr>
              <w:t>5月8日</w:t>
            </w:r>
          </w:p>
        </w:tc>
      </w:tr>
      <w:tr w14:paraId="1E8F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vAlign w:val="center"/>
          </w:tcPr>
          <w:p w14:paraId="622836BA">
            <w:pPr>
              <w:spacing w:line="300" w:lineRule="auto"/>
              <w:ind w:left="-141" w:leftChars="-67"/>
              <w:jc w:val="center"/>
              <w:rPr>
                <w:rFonts w:ascii="Times New Roman" w:hAnsi="Times New Roman" w:eastAsia="宋体" w:cs="Times New Roman"/>
                <w:szCs w:val="21"/>
              </w:rPr>
            </w:pPr>
            <w:r>
              <w:rPr>
                <w:rFonts w:ascii="Times New Roman" w:hAnsi="Times New Roman" w:eastAsia="宋体" w:cs="Times New Roman"/>
              </w:rPr>
              <w:t>第</w:t>
            </w:r>
            <w:r>
              <w:rPr>
                <w:rFonts w:hint="eastAsia" w:ascii="Times New Roman" w:hAnsi="Times New Roman" w:eastAsia="宋体" w:cs="Times New Roman"/>
              </w:rPr>
              <w:t>二</w:t>
            </w:r>
            <w:r>
              <w:rPr>
                <w:rFonts w:ascii="Times New Roman" w:hAnsi="Times New Roman" w:eastAsia="宋体" w:cs="Times New Roman"/>
              </w:rPr>
              <w:t>次</w:t>
            </w:r>
          </w:p>
        </w:tc>
        <w:tc>
          <w:tcPr>
            <w:tcW w:w="2422" w:type="pct"/>
            <w:vAlign w:val="center"/>
          </w:tcPr>
          <w:p w14:paraId="088AA467">
            <w:pPr>
              <w:spacing w:line="300" w:lineRule="auto"/>
              <w:ind w:left="31" w:leftChars="15"/>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eastAsia="zh-CN"/>
              </w:rPr>
              <w:t>2026</w:t>
            </w:r>
            <w:r>
              <w:rPr>
                <w:rFonts w:hint="eastAsia" w:ascii="Times New Roman" w:hAnsi="Times New Roman" w:eastAsia="宋体" w:cs="Times New Roman"/>
                <w:sz w:val="18"/>
                <w:szCs w:val="18"/>
              </w:rPr>
              <w:t>0201</w:t>
            </w:r>
            <w:r>
              <w:rPr>
                <w:rFonts w:ascii="Times New Roman" w:hAnsi="Times New Roman" w:eastAsia="宋体" w:cs="Times New Roman"/>
                <w:sz w:val="18"/>
                <w:szCs w:val="18"/>
              </w:rPr>
              <w:t>,</w:t>
            </w:r>
            <w:r>
              <w:rPr>
                <w:rFonts w:hint="eastAsia" w:ascii="Times New Roman" w:hAnsi="Times New Roman" w:eastAsia="宋体" w:cs="Times New Roman"/>
                <w:sz w:val="18"/>
                <w:szCs w:val="18"/>
                <w:lang w:eastAsia="zh-CN"/>
              </w:rPr>
              <w:t>2026</w:t>
            </w:r>
            <w:r>
              <w:rPr>
                <w:rFonts w:hint="eastAsia" w:ascii="Times New Roman" w:hAnsi="Times New Roman" w:eastAsia="宋体" w:cs="Times New Roman"/>
                <w:sz w:val="18"/>
                <w:szCs w:val="18"/>
              </w:rPr>
              <w:t>0202,</w:t>
            </w:r>
            <w:r>
              <w:rPr>
                <w:rFonts w:hint="eastAsia" w:ascii="Times New Roman" w:hAnsi="Times New Roman" w:eastAsia="宋体" w:cs="Times New Roman"/>
                <w:sz w:val="18"/>
                <w:szCs w:val="18"/>
                <w:lang w:eastAsia="zh-CN"/>
              </w:rPr>
              <w:t>2026</w:t>
            </w:r>
            <w:r>
              <w:rPr>
                <w:rFonts w:hint="eastAsia" w:ascii="Times New Roman" w:hAnsi="Times New Roman" w:eastAsia="宋体" w:cs="Times New Roman"/>
                <w:sz w:val="18"/>
                <w:szCs w:val="18"/>
              </w:rPr>
              <w:t>0203</w:t>
            </w:r>
            <w:r>
              <w:rPr>
                <w:rFonts w:ascii="Times New Roman" w:hAnsi="Times New Roman" w:eastAsia="宋体" w:cs="Times New Roman"/>
                <w:sz w:val="18"/>
                <w:szCs w:val="18"/>
              </w:rPr>
              <w:t>,</w:t>
            </w:r>
            <w:r>
              <w:rPr>
                <w:rFonts w:hint="eastAsia" w:ascii="Times New Roman" w:hAnsi="Times New Roman" w:eastAsia="宋体" w:cs="Times New Roman"/>
                <w:sz w:val="18"/>
                <w:szCs w:val="18"/>
                <w:lang w:eastAsia="zh-CN"/>
              </w:rPr>
              <w:t>2026</w:t>
            </w:r>
            <w:r>
              <w:rPr>
                <w:rFonts w:hint="eastAsia" w:ascii="Times New Roman" w:hAnsi="Times New Roman" w:eastAsia="宋体" w:cs="Times New Roman"/>
                <w:sz w:val="18"/>
                <w:szCs w:val="18"/>
              </w:rPr>
              <w:t>0204</w:t>
            </w:r>
            <w:r>
              <w:rPr>
                <w:rFonts w:ascii="Times New Roman" w:hAnsi="Times New Roman" w:eastAsia="宋体" w:cs="Times New Roman"/>
                <w:sz w:val="18"/>
                <w:szCs w:val="18"/>
              </w:rPr>
              <w:t>,</w:t>
            </w:r>
            <w:r>
              <w:rPr>
                <w:rFonts w:hint="eastAsia" w:ascii="Times New Roman" w:hAnsi="Times New Roman" w:eastAsia="宋体" w:cs="Times New Roman"/>
                <w:sz w:val="18"/>
                <w:szCs w:val="18"/>
                <w:lang w:eastAsia="zh-CN"/>
              </w:rPr>
              <w:t>2026</w:t>
            </w:r>
            <w:r>
              <w:rPr>
                <w:rFonts w:hint="eastAsia" w:ascii="Times New Roman" w:hAnsi="Times New Roman" w:eastAsia="宋体" w:cs="Times New Roman"/>
                <w:sz w:val="18"/>
                <w:szCs w:val="18"/>
              </w:rPr>
              <w:t>0205</w:t>
            </w:r>
          </w:p>
        </w:tc>
        <w:tc>
          <w:tcPr>
            <w:tcW w:w="1341" w:type="dxa"/>
            <w:vAlign w:val="top"/>
          </w:tcPr>
          <w:p w14:paraId="25BF14C1">
            <w:pPr>
              <w:spacing w:line="300" w:lineRule="auto"/>
              <w:ind w:left="31" w:leftChars="15"/>
              <w:jc w:val="center"/>
              <w:rPr>
                <w:rFonts w:hint="eastAsia" w:ascii="Times New Roman" w:hAnsi="Times New Roman" w:eastAsia="宋体" w:cs="Times New Roman"/>
                <w:sz w:val="18"/>
                <w:szCs w:val="18"/>
              </w:rPr>
            </w:pPr>
            <w:r>
              <w:rPr>
                <w:rFonts w:hint="default" w:ascii="Times New Roman" w:hAnsi="Times New Roman" w:eastAsia="宋体" w:cs="Times New Roman"/>
                <w:sz w:val="18"/>
                <w:szCs w:val="18"/>
                <w:lang w:eastAsia="zh-CN"/>
              </w:rPr>
              <w:t>9月16日</w:t>
            </w:r>
          </w:p>
        </w:tc>
        <w:tc>
          <w:tcPr>
            <w:tcW w:w="1265" w:type="dxa"/>
            <w:vAlign w:val="top"/>
          </w:tcPr>
          <w:p w14:paraId="552BF0E7">
            <w:pPr>
              <w:spacing w:line="300" w:lineRule="auto"/>
              <w:ind w:left="31" w:leftChars="15"/>
              <w:jc w:val="center"/>
              <w:rPr>
                <w:rFonts w:hint="eastAsia" w:ascii="Times New Roman" w:hAnsi="Times New Roman" w:eastAsia="宋体" w:cs="Times New Roman"/>
                <w:sz w:val="18"/>
                <w:szCs w:val="18"/>
              </w:rPr>
            </w:pPr>
            <w:r>
              <w:rPr>
                <w:rFonts w:hint="default" w:ascii="Times New Roman" w:hAnsi="Times New Roman" w:eastAsia="宋体" w:cs="Times New Roman"/>
                <w:sz w:val="18"/>
                <w:szCs w:val="18"/>
                <w:lang w:eastAsia="zh-CN"/>
              </w:rPr>
              <w:t>9月30日</w:t>
            </w:r>
          </w:p>
        </w:tc>
        <w:tc>
          <w:tcPr>
            <w:tcW w:w="1265" w:type="dxa"/>
            <w:vAlign w:val="top"/>
          </w:tcPr>
          <w:p w14:paraId="01B53213">
            <w:pPr>
              <w:spacing w:line="300" w:lineRule="auto"/>
              <w:ind w:left="31" w:leftChars="15"/>
              <w:jc w:val="center"/>
              <w:rPr>
                <w:rFonts w:hint="eastAsia" w:ascii="Times New Roman" w:hAnsi="Times New Roman" w:eastAsia="宋体" w:cs="Times New Roman"/>
                <w:sz w:val="18"/>
                <w:szCs w:val="18"/>
              </w:rPr>
            </w:pPr>
            <w:r>
              <w:rPr>
                <w:rFonts w:hint="default" w:ascii="Times New Roman" w:hAnsi="Times New Roman" w:eastAsia="宋体" w:cs="Times New Roman"/>
                <w:sz w:val="18"/>
                <w:szCs w:val="18"/>
                <w:lang w:eastAsia="zh-CN"/>
              </w:rPr>
              <w:t>11月6日</w:t>
            </w:r>
          </w:p>
        </w:tc>
      </w:tr>
    </w:tbl>
    <w:p w14:paraId="5D11D1CB">
      <w:pPr>
        <w:spacing w:line="280" w:lineRule="atLeast"/>
        <w:ind w:left="-3" w:firstLine="3"/>
        <w:rPr>
          <w:rFonts w:ascii="Times New Roman" w:hAnsi="Times New Roman" w:eastAsia="宋体"/>
          <w:szCs w:val="21"/>
        </w:rPr>
      </w:pPr>
      <w:r>
        <w:rPr>
          <w:rFonts w:hint="eastAsia" w:ascii="Times New Roman" w:hAnsi="Times New Roman" w:eastAsia="宋体" w:cs="Times New Roman"/>
          <w:szCs w:val="21"/>
        </w:rPr>
        <w:t xml:space="preserve">注：为保证及时统计回报结果，截止日期后收到的结果将不予统计分析。  </w:t>
      </w:r>
    </w:p>
    <w:p w14:paraId="153FCD17">
      <w:pPr>
        <w:spacing w:beforeLines="50"/>
        <w:rPr>
          <w:rFonts w:ascii="Times New Roman" w:hAnsi="Times New Roman" w:eastAsia="宋体" w:cs="Times New Roman"/>
          <w:b/>
          <w:bCs/>
          <w:szCs w:val="21"/>
        </w:rPr>
      </w:pPr>
      <w:r>
        <w:rPr>
          <w:rFonts w:hint="eastAsia" w:ascii="Times New Roman" w:hAnsi="Times New Roman" w:eastAsia="宋体" w:cs="Times New Roman"/>
          <w:b/>
          <w:bCs/>
          <w:szCs w:val="21"/>
        </w:rPr>
        <w:t>二、样品保存</w:t>
      </w:r>
    </w:p>
    <w:p w14:paraId="6B3F3DAD">
      <w:pPr>
        <w:pStyle w:val="7"/>
        <w:numPr>
          <w:ilvl w:val="1"/>
          <w:numId w:val="2"/>
        </w:numPr>
        <w:spacing w:line="280" w:lineRule="atLeast"/>
        <w:rPr>
          <w:rFonts w:ascii="Times New Roman" w:hAnsi="Times New Roman" w:eastAsia="宋体"/>
          <w:b/>
          <w:bCs/>
          <w:sz w:val="21"/>
          <w:szCs w:val="21"/>
        </w:rPr>
      </w:pPr>
      <w:r>
        <w:rPr>
          <w:rFonts w:hint="eastAsia" w:ascii="Times New Roman" w:hAnsi="Times New Roman" w:eastAsia="宋体"/>
          <w:bCs/>
          <w:sz w:val="21"/>
          <w:szCs w:val="21"/>
        </w:rPr>
        <w:t>红细胞分型质控物，</w:t>
      </w:r>
      <w:r>
        <w:rPr>
          <w:rFonts w:hint="eastAsia" w:ascii="Times New Roman" w:hAnsi="Times New Roman" w:eastAsia="宋体"/>
          <w:b/>
          <w:bCs/>
          <w:sz w:val="21"/>
          <w:szCs w:val="21"/>
        </w:rPr>
        <w:t>2-8℃保存，且有效期短，请在收到后立即检测。</w:t>
      </w:r>
      <w:bookmarkStart w:id="0" w:name="_GoBack"/>
      <w:bookmarkEnd w:id="0"/>
    </w:p>
    <w:p w14:paraId="0AF0232A">
      <w:pPr>
        <w:pStyle w:val="7"/>
        <w:numPr>
          <w:ilvl w:val="1"/>
          <w:numId w:val="2"/>
        </w:numPr>
        <w:spacing w:line="280" w:lineRule="atLeast"/>
        <w:rPr>
          <w:rFonts w:ascii="Times New Roman" w:hAnsi="Times New Roman" w:eastAsia="宋体"/>
          <w:sz w:val="22"/>
          <w:szCs w:val="21"/>
        </w:rPr>
      </w:pPr>
      <w:r>
        <w:rPr>
          <w:rFonts w:hint="eastAsia" w:ascii="Times New Roman" w:hAnsi="Times New Roman" w:eastAsia="宋体"/>
          <w:bCs/>
          <w:sz w:val="21"/>
          <w:szCs w:val="21"/>
        </w:rPr>
        <w:t>ABO反定型抗体血浆，</w:t>
      </w:r>
      <w:r>
        <w:rPr>
          <w:rFonts w:hint="eastAsia" w:ascii="Times New Roman" w:hAnsi="Times New Roman" w:eastAsia="宋体"/>
          <w:b/>
          <w:bCs/>
          <w:sz w:val="21"/>
          <w:szCs w:val="21"/>
        </w:rPr>
        <w:t>2-8℃保存，并请注意有效期</w:t>
      </w:r>
      <w:r>
        <w:rPr>
          <w:rFonts w:hint="eastAsia" w:ascii="Times New Roman" w:hAnsi="Times New Roman" w:eastAsia="宋体"/>
          <w:b/>
          <w:bCs/>
          <w:sz w:val="22"/>
          <w:szCs w:val="21"/>
        </w:rPr>
        <w:t>。</w:t>
      </w:r>
    </w:p>
    <w:p w14:paraId="7DBF2FBC">
      <w:pPr>
        <w:spacing w:beforeLines="50"/>
        <w:rPr>
          <w:rFonts w:ascii="Times New Roman" w:hAnsi="Times New Roman" w:eastAsia="宋体" w:cs="Times New Roman"/>
          <w:b/>
          <w:bCs/>
          <w:szCs w:val="21"/>
        </w:rPr>
      </w:pPr>
      <w:r>
        <w:rPr>
          <w:rFonts w:hint="eastAsia" w:ascii="Times New Roman" w:hAnsi="Times New Roman" w:eastAsia="宋体" w:cs="Times New Roman"/>
          <w:b/>
          <w:bCs/>
          <w:szCs w:val="21"/>
        </w:rPr>
        <w:t>三、样品处理</w:t>
      </w:r>
    </w:p>
    <w:p w14:paraId="2DE649CD">
      <w:pPr>
        <w:spacing w:line="280" w:lineRule="exact"/>
        <w:ind w:firstLine="422" w:firstLineChars="200"/>
        <w:rPr>
          <w:rFonts w:ascii="Times New Roman" w:hAnsi="Times New Roman" w:eastAsia="宋体" w:cs="Times New Roman"/>
          <w:b/>
          <w:color w:val="FF0000"/>
          <w:szCs w:val="21"/>
        </w:rPr>
      </w:pPr>
      <w:r>
        <w:rPr>
          <w:rFonts w:hint="eastAsia" w:ascii="Times New Roman" w:hAnsi="Times New Roman" w:eastAsia="宋体" w:cs="Times New Roman"/>
          <w:b/>
          <w:szCs w:val="21"/>
        </w:rPr>
        <w:t>质评样品的检测应与病人标本相同，请以潜在传染性物品处理。</w:t>
      </w:r>
    </w:p>
    <w:p w14:paraId="2F96AED4">
      <w:pPr>
        <w:spacing w:beforeLines="50"/>
        <w:rPr>
          <w:rFonts w:ascii="Times New Roman" w:hAnsi="Times New Roman" w:eastAsia="宋体" w:cs="Times New Roman"/>
          <w:b/>
          <w:bCs/>
          <w:szCs w:val="21"/>
        </w:rPr>
      </w:pPr>
      <w:r>
        <w:rPr>
          <w:rFonts w:hint="eastAsia" w:ascii="Times New Roman" w:hAnsi="Times New Roman" w:eastAsia="宋体" w:cs="Times New Roman"/>
          <w:b/>
          <w:bCs/>
          <w:szCs w:val="21"/>
        </w:rPr>
        <w:t>四、数据回报</w:t>
      </w:r>
    </w:p>
    <w:p w14:paraId="0C323284">
      <w:pPr>
        <w:spacing w:line="280" w:lineRule="exact"/>
        <w:ind w:firstLine="422" w:firstLineChars="200"/>
        <w:rPr>
          <w:rFonts w:ascii="Times New Roman" w:hAnsi="Times New Roman" w:eastAsia="宋体"/>
          <w:szCs w:val="21"/>
        </w:rPr>
      </w:pPr>
      <w:r>
        <w:rPr>
          <w:rFonts w:hint="eastAsia" w:ascii="Times New Roman" w:hAnsi="Times New Roman" w:eastAsia="宋体"/>
          <w:b/>
          <w:szCs w:val="21"/>
        </w:rPr>
        <w:t>请使用电子方式回报数据，</w:t>
      </w:r>
      <w:r>
        <w:rPr>
          <w:rFonts w:hint="eastAsia" w:ascii="Times New Roman" w:hAnsi="Times New Roman" w:eastAsia="宋体"/>
        </w:rPr>
        <w:t>以电子方式回报的实验室不需填写及寄回纸质回报表。</w:t>
      </w:r>
      <w:r>
        <w:rPr>
          <w:rFonts w:hint="eastAsia" w:ascii="Times New Roman" w:hAnsi="Times New Roman" w:eastAsia="宋体"/>
          <w:szCs w:val="21"/>
        </w:rPr>
        <w:t>实验室</w:t>
      </w:r>
      <w:r>
        <w:rPr>
          <w:rFonts w:hint="eastAsia" w:ascii="Times New Roman" w:hAnsi="Times New Roman" w:eastAsia="宋体"/>
          <w:szCs w:val="21"/>
          <w:lang w:eastAsia="zh-CN"/>
        </w:rPr>
        <w:t>登录</w:t>
      </w:r>
      <w:r>
        <w:rPr>
          <w:rFonts w:hint="eastAsia" w:ascii="Times New Roman" w:hAnsi="Times New Roman" w:eastAsia="宋体"/>
          <w:szCs w:val="21"/>
        </w:rPr>
        <w:t>广东省临床检验中心网站回报数据路径：</w:t>
      </w:r>
    </w:p>
    <w:p w14:paraId="6E87E4E1">
      <w:pPr>
        <w:pStyle w:val="7"/>
        <w:numPr>
          <w:ilvl w:val="0"/>
          <w:numId w:val="3"/>
        </w:numPr>
        <w:spacing w:line="280" w:lineRule="exact"/>
        <w:rPr>
          <w:rFonts w:ascii="Times New Roman" w:hAnsi="Times New Roman" w:eastAsia="宋体"/>
          <w:sz w:val="21"/>
          <w:szCs w:val="21"/>
        </w:rPr>
      </w:pPr>
      <w:r>
        <w:rPr>
          <w:rFonts w:ascii="Times New Roman" w:hAnsi="Times New Roman" w:eastAsia="宋体" w:cs="Times New Roman"/>
          <w:kern w:val="2"/>
          <w:sz w:val="21"/>
          <w:szCs w:val="21"/>
        </w:rPr>
        <w:t>http:// gdccl.clinet.com.cn</w:t>
      </w:r>
      <w:r>
        <w:rPr>
          <w:rFonts w:hint="eastAsia" w:ascii="Times New Roman" w:hAnsi="Times New Roman" w:eastAsia="宋体"/>
          <w:kern w:val="2"/>
          <w:sz w:val="21"/>
          <w:szCs w:val="21"/>
        </w:rPr>
        <w:t>在首页</w:t>
      </w:r>
      <w:r>
        <w:rPr>
          <w:rFonts w:hint="eastAsia" w:ascii="Times New Roman" w:hAnsi="Times New Roman" w:eastAsia="宋体"/>
          <w:kern w:val="2"/>
          <w:sz w:val="21"/>
          <w:szCs w:val="21"/>
          <w:lang w:eastAsia="zh-CN"/>
        </w:rPr>
        <w:t>登录</w:t>
      </w:r>
      <w:r>
        <w:rPr>
          <w:rFonts w:hint="eastAsia" w:ascii="Times New Roman" w:hAnsi="Times New Roman" w:eastAsia="宋体"/>
          <w:kern w:val="2"/>
          <w:sz w:val="21"/>
          <w:szCs w:val="21"/>
        </w:rPr>
        <w:t>区内相应位置填写实验室用户名和密码，点击“</w:t>
      </w:r>
      <w:r>
        <w:rPr>
          <w:rFonts w:hint="eastAsia" w:ascii="Times New Roman" w:hAnsi="Times New Roman" w:eastAsia="宋体"/>
          <w:kern w:val="2"/>
          <w:sz w:val="21"/>
          <w:szCs w:val="21"/>
          <w:lang w:eastAsia="zh-CN"/>
        </w:rPr>
        <w:t>登录</w:t>
      </w:r>
      <w:r>
        <w:rPr>
          <w:rFonts w:hint="eastAsia" w:ascii="Times New Roman" w:hAnsi="Times New Roman" w:eastAsia="宋体"/>
          <w:kern w:val="2"/>
          <w:sz w:val="21"/>
          <w:szCs w:val="21"/>
        </w:rPr>
        <w:t>”按钮进入</w:t>
      </w:r>
      <w:r>
        <w:rPr>
          <w:rFonts w:ascii="Times New Roman" w:hAnsi="Times New Roman" w:eastAsia="宋体" w:cs="Times New Roman"/>
          <w:kern w:val="2"/>
          <w:sz w:val="21"/>
          <w:szCs w:val="21"/>
        </w:rPr>
        <w:t>EQA</w:t>
      </w:r>
      <w:r>
        <w:rPr>
          <w:rFonts w:hint="eastAsia" w:ascii="Times New Roman" w:hAnsi="Times New Roman" w:eastAsia="宋体"/>
          <w:kern w:val="2"/>
          <w:sz w:val="21"/>
          <w:szCs w:val="21"/>
        </w:rPr>
        <w:t>系统。</w:t>
      </w:r>
    </w:p>
    <w:p w14:paraId="0E67EF5D">
      <w:pPr>
        <w:pStyle w:val="7"/>
        <w:numPr>
          <w:ilvl w:val="0"/>
          <w:numId w:val="3"/>
        </w:numPr>
        <w:spacing w:line="280" w:lineRule="exact"/>
        <w:rPr>
          <w:rFonts w:ascii="Times New Roman" w:hAnsi="Times New Roman" w:eastAsia="宋体"/>
          <w:kern w:val="2"/>
          <w:sz w:val="21"/>
          <w:szCs w:val="21"/>
        </w:rPr>
      </w:pPr>
      <w:r>
        <w:rPr>
          <w:rFonts w:ascii="Times New Roman" w:hAnsi="Times New Roman" w:eastAsia="宋体" w:cs="Times New Roman"/>
          <w:kern w:val="2"/>
          <w:sz w:val="21"/>
          <w:szCs w:val="21"/>
        </w:rPr>
        <w:t>http://www.clinet.com.cn</w:t>
      </w:r>
      <w:r>
        <w:rPr>
          <w:rFonts w:hint="eastAsia" w:ascii="Times New Roman" w:hAnsi="Times New Roman" w:eastAsia="宋体"/>
          <w:kern w:val="2"/>
          <w:sz w:val="21"/>
          <w:szCs w:val="21"/>
        </w:rPr>
        <w:t>在首页点击室间质评图标，弹出</w:t>
      </w:r>
      <w:r>
        <w:rPr>
          <w:rFonts w:hint="eastAsia" w:ascii="Times New Roman" w:hAnsi="Times New Roman" w:eastAsia="宋体"/>
          <w:kern w:val="2"/>
          <w:sz w:val="21"/>
          <w:szCs w:val="21"/>
          <w:lang w:eastAsia="zh-CN"/>
        </w:rPr>
        <w:t>登录</w:t>
      </w:r>
      <w:r>
        <w:rPr>
          <w:rFonts w:hint="eastAsia" w:ascii="Times New Roman" w:hAnsi="Times New Roman" w:eastAsia="宋体"/>
          <w:kern w:val="2"/>
          <w:sz w:val="21"/>
          <w:szCs w:val="21"/>
        </w:rPr>
        <w:t>区后在相应位置填写实验室用户名和密码，点击“</w:t>
      </w:r>
      <w:r>
        <w:rPr>
          <w:rFonts w:hint="eastAsia" w:ascii="Times New Roman" w:hAnsi="Times New Roman" w:eastAsia="宋体"/>
          <w:kern w:val="2"/>
          <w:sz w:val="21"/>
          <w:szCs w:val="21"/>
          <w:lang w:eastAsia="zh-CN"/>
        </w:rPr>
        <w:t>登录</w:t>
      </w:r>
      <w:r>
        <w:rPr>
          <w:rFonts w:hint="eastAsia" w:ascii="Times New Roman" w:hAnsi="Times New Roman" w:eastAsia="宋体"/>
          <w:kern w:val="2"/>
          <w:sz w:val="21"/>
          <w:szCs w:val="21"/>
        </w:rPr>
        <w:t>”按钮进入</w:t>
      </w:r>
      <w:r>
        <w:rPr>
          <w:rFonts w:ascii="Times New Roman" w:hAnsi="Times New Roman" w:eastAsia="宋体" w:cs="Times New Roman"/>
          <w:kern w:val="2"/>
          <w:sz w:val="21"/>
          <w:szCs w:val="21"/>
        </w:rPr>
        <w:t>EQA</w:t>
      </w:r>
      <w:r>
        <w:rPr>
          <w:rFonts w:hint="eastAsia" w:ascii="Times New Roman" w:hAnsi="Times New Roman" w:eastAsia="宋体"/>
          <w:kern w:val="2"/>
          <w:sz w:val="21"/>
          <w:szCs w:val="21"/>
        </w:rPr>
        <w:t>系统。</w:t>
      </w:r>
    </w:p>
    <w:p w14:paraId="51D5DD31">
      <w:pPr>
        <w:ind w:left="420"/>
        <w:rPr>
          <w:rFonts w:ascii="Times New Roman" w:hAnsi="Times New Roman" w:eastAsia="宋体"/>
          <w:szCs w:val="21"/>
        </w:rPr>
      </w:pPr>
      <w:r>
        <w:rPr>
          <w:rFonts w:hint="eastAsia" w:ascii="Times New Roman" w:hAnsi="Times New Roman" w:eastAsia="宋体"/>
          <w:szCs w:val="21"/>
        </w:rPr>
        <w:t>两种路径都可进入广东省室间质评系统回报数据，实验室可根据网络情况选用。</w:t>
      </w:r>
    </w:p>
    <w:p w14:paraId="1FF847B7">
      <w:pPr>
        <w:spacing w:line="360" w:lineRule="auto"/>
        <w:ind w:left="-3" w:firstLine="3"/>
        <w:rPr>
          <w:rFonts w:ascii="Times New Roman" w:hAnsi="Times New Roman" w:eastAsia="宋体"/>
          <w:b/>
          <w:bCs/>
          <w:szCs w:val="21"/>
        </w:rPr>
      </w:pPr>
      <w:r>
        <w:rPr>
          <w:rFonts w:hint="eastAsia" w:ascii="Times New Roman" w:hAnsi="Times New Roman" w:eastAsia="宋体"/>
          <w:b/>
          <w:bCs/>
          <w:szCs w:val="21"/>
        </w:rPr>
        <w:t>五、结果反馈</w:t>
      </w:r>
    </w:p>
    <w:p w14:paraId="068C7D4A">
      <w:pPr>
        <w:ind w:firstLine="420" w:firstLineChars="200"/>
        <w:rPr>
          <w:rFonts w:ascii="Times New Roman" w:hAnsi="Times New Roman" w:eastAsia="宋体"/>
          <w:szCs w:val="21"/>
        </w:rPr>
      </w:pPr>
      <w:r>
        <w:rPr>
          <w:rFonts w:hint="eastAsia" w:ascii="Times New Roman" w:hAnsi="Times New Roman" w:eastAsia="宋体"/>
          <w:szCs w:val="21"/>
        </w:rPr>
        <w:t>本年度的质评统计结果及年度质评证书以电子方式从网上反馈给实验室，不再打印纸质的统计结果表及汇总成绩表。</w:t>
      </w:r>
    </w:p>
    <w:p w14:paraId="4A203636">
      <w:pPr>
        <w:spacing w:line="360" w:lineRule="auto"/>
        <w:rPr>
          <w:rFonts w:ascii="Times New Roman" w:hAnsi="Times New Roman" w:eastAsia="宋体"/>
          <w:b/>
          <w:szCs w:val="21"/>
        </w:rPr>
      </w:pPr>
      <w:r>
        <w:rPr>
          <w:rFonts w:hint="eastAsia" w:ascii="Times New Roman" w:hAnsi="Times New Roman" w:eastAsia="宋体"/>
          <w:b/>
          <w:szCs w:val="21"/>
        </w:rPr>
        <w:t>六、重要提醒</w:t>
      </w:r>
    </w:p>
    <w:p w14:paraId="6DE4158E">
      <w:pPr>
        <w:rPr>
          <w:rFonts w:ascii="Times New Roman" w:hAnsi="Times New Roman" w:eastAsia="宋体"/>
          <w:szCs w:val="21"/>
        </w:rPr>
      </w:pPr>
      <w:r>
        <w:rPr>
          <w:rFonts w:hint="eastAsia" w:ascii="Times New Roman" w:hAnsi="Times New Roman" w:eastAsia="宋体"/>
          <w:szCs w:val="21"/>
        </w:rPr>
        <w:t xml:space="preserve">    1.每次活动实验室血型检验项目未能达到100%可接受结果则称为本次活动该检验项目室间质量评价成绩不合格。</w:t>
      </w:r>
    </w:p>
    <w:p w14:paraId="0D857E37">
      <w:pPr>
        <w:ind w:firstLine="420" w:firstLineChars="200"/>
        <w:rPr>
          <w:rFonts w:ascii="Times New Roman" w:hAnsi="Times New Roman" w:eastAsia="宋体"/>
          <w:szCs w:val="21"/>
        </w:rPr>
      </w:pPr>
      <w:r>
        <w:rPr>
          <w:rFonts w:hint="eastAsia" w:ascii="Times New Roman" w:hAnsi="Times New Roman" w:eastAsia="宋体"/>
          <w:szCs w:val="21"/>
        </w:rPr>
        <w:t>2.在规定的回报截止日期前实验室未能将室间质量评价的结果回报给室间质量评价组织者，则该实验室的室间质量评价成绩不合格，该次活动的实验室的室间质量评价成绩得分为0。</w:t>
      </w:r>
    </w:p>
    <w:p w14:paraId="612D7B38">
      <w:pPr>
        <w:spacing w:line="280" w:lineRule="exact"/>
        <w:rPr>
          <w:rFonts w:ascii="Times New Roman" w:hAnsi="Times New Roman" w:eastAsia="宋体"/>
          <w:b/>
          <w:szCs w:val="21"/>
        </w:rPr>
      </w:pPr>
    </w:p>
    <w:p w14:paraId="4C649006">
      <w:pPr>
        <w:spacing w:line="280" w:lineRule="exact"/>
        <w:ind w:firstLine="5390" w:firstLineChars="2450"/>
        <w:jc w:val="right"/>
        <w:rPr>
          <w:rFonts w:ascii="Times New Roman" w:hAnsi="Times New Roman" w:eastAsia="宋体"/>
          <w:sz w:val="22"/>
          <w:szCs w:val="24"/>
        </w:rPr>
      </w:pPr>
      <w:r>
        <w:rPr>
          <w:rFonts w:hint="eastAsia" w:ascii="Times New Roman" w:hAnsi="Times New Roman" w:eastAsia="宋体"/>
          <w:sz w:val="22"/>
          <w:szCs w:val="24"/>
        </w:rPr>
        <w:t>广东省临床检验中心</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7B3FEC"/>
    <w:multiLevelType w:val="multilevel"/>
    <w:tmpl w:val="2B7B3FE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4E6423F8"/>
    <w:multiLevelType w:val="multilevel"/>
    <w:tmpl w:val="4E6423F8"/>
    <w:lvl w:ilvl="0" w:tentative="0">
      <w:start w:val="1"/>
      <w:numFmt w:val="bullet"/>
      <w:lvlText w:val=""/>
      <w:lvlJc w:val="left"/>
      <w:pPr>
        <w:ind w:left="836" w:hanging="420"/>
      </w:pPr>
      <w:rPr>
        <w:rFonts w:hint="default" w:ascii="Wingdings" w:hAnsi="Wingdings"/>
      </w:rPr>
    </w:lvl>
    <w:lvl w:ilvl="1" w:tentative="0">
      <w:start w:val="1"/>
      <w:numFmt w:val="bullet"/>
      <w:lvlText w:val=""/>
      <w:lvlJc w:val="left"/>
      <w:pPr>
        <w:ind w:left="1256" w:hanging="420"/>
      </w:pPr>
      <w:rPr>
        <w:rFonts w:hint="default" w:ascii="Wingdings" w:hAnsi="Wingdings"/>
      </w:rPr>
    </w:lvl>
    <w:lvl w:ilvl="2" w:tentative="0">
      <w:start w:val="1"/>
      <w:numFmt w:val="bullet"/>
      <w:lvlText w:val=""/>
      <w:lvlJc w:val="left"/>
      <w:pPr>
        <w:ind w:left="1676" w:hanging="420"/>
      </w:pPr>
      <w:rPr>
        <w:rFonts w:hint="default" w:ascii="Wingdings" w:hAnsi="Wingdings"/>
      </w:rPr>
    </w:lvl>
    <w:lvl w:ilvl="3" w:tentative="0">
      <w:start w:val="1"/>
      <w:numFmt w:val="bullet"/>
      <w:lvlText w:val=""/>
      <w:lvlJc w:val="left"/>
      <w:pPr>
        <w:ind w:left="2096" w:hanging="420"/>
      </w:pPr>
      <w:rPr>
        <w:rFonts w:hint="default" w:ascii="Wingdings" w:hAnsi="Wingdings"/>
      </w:rPr>
    </w:lvl>
    <w:lvl w:ilvl="4" w:tentative="0">
      <w:start w:val="1"/>
      <w:numFmt w:val="bullet"/>
      <w:lvlText w:val=""/>
      <w:lvlJc w:val="left"/>
      <w:pPr>
        <w:ind w:left="2516" w:hanging="420"/>
      </w:pPr>
      <w:rPr>
        <w:rFonts w:hint="default" w:ascii="Wingdings" w:hAnsi="Wingdings"/>
      </w:rPr>
    </w:lvl>
    <w:lvl w:ilvl="5" w:tentative="0">
      <w:start w:val="1"/>
      <w:numFmt w:val="bullet"/>
      <w:lvlText w:val=""/>
      <w:lvlJc w:val="left"/>
      <w:pPr>
        <w:ind w:left="2936" w:hanging="420"/>
      </w:pPr>
      <w:rPr>
        <w:rFonts w:hint="default" w:ascii="Wingdings" w:hAnsi="Wingdings"/>
      </w:rPr>
    </w:lvl>
    <w:lvl w:ilvl="6" w:tentative="0">
      <w:start w:val="1"/>
      <w:numFmt w:val="bullet"/>
      <w:lvlText w:val=""/>
      <w:lvlJc w:val="left"/>
      <w:pPr>
        <w:ind w:left="3356" w:hanging="420"/>
      </w:pPr>
      <w:rPr>
        <w:rFonts w:hint="default" w:ascii="Wingdings" w:hAnsi="Wingdings"/>
      </w:rPr>
    </w:lvl>
    <w:lvl w:ilvl="7" w:tentative="0">
      <w:start w:val="1"/>
      <w:numFmt w:val="bullet"/>
      <w:lvlText w:val=""/>
      <w:lvlJc w:val="left"/>
      <w:pPr>
        <w:ind w:left="3776" w:hanging="420"/>
      </w:pPr>
      <w:rPr>
        <w:rFonts w:hint="default" w:ascii="Wingdings" w:hAnsi="Wingdings"/>
      </w:rPr>
    </w:lvl>
    <w:lvl w:ilvl="8" w:tentative="0">
      <w:start w:val="1"/>
      <w:numFmt w:val="bullet"/>
      <w:lvlText w:val=""/>
      <w:lvlJc w:val="left"/>
      <w:pPr>
        <w:ind w:left="4196" w:hanging="420"/>
      </w:pPr>
      <w:rPr>
        <w:rFonts w:hint="default" w:ascii="Wingdings" w:hAnsi="Wingdings"/>
      </w:rPr>
    </w:lvl>
  </w:abstractNum>
  <w:abstractNum w:abstractNumId="2">
    <w:nsid w:val="556F4A1F"/>
    <w:multiLevelType w:val="multilevel"/>
    <w:tmpl w:val="556F4A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k0NjIyOGIyYWZmNmNhMTU0NTM0NGVkYzY3YjA0MjkifQ=="/>
  </w:docVars>
  <w:rsids>
    <w:rsidRoot w:val="00EE39F4"/>
    <w:rsid w:val="000407D3"/>
    <w:rsid w:val="00081D5D"/>
    <w:rsid w:val="000F5724"/>
    <w:rsid w:val="001411C1"/>
    <w:rsid w:val="00156AEB"/>
    <w:rsid w:val="00185644"/>
    <w:rsid w:val="00190E88"/>
    <w:rsid w:val="001B3797"/>
    <w:rsid w:val="001D5785"/>
    <w:rsid w:val="00214D2F"/>
    <w:rsid w:val="002332D6"/>
    <w:rsid w:val="00371F04"/>
    <w:rsid w:val="003D05C9"/>
    <w:rsid w:val="003D4F65"/>
    <w:rsid w:val="00410182"/>
    <w:rsid w:val="00466BFD"/>
    <w:rsid w:val="00495FD5"/>
    <w:rsid w:val="004A25DC"/>
    <w:rsid w:val="004E0FC8"/>
    <w:rsid w:val="004F3EFE"/>
    <w:rsid w:val="00551289"/>
    <w:rsid w:val="005C0A6A"/>
    <w:rsid w:val="006B0EDC"/>
    <w:rsid w:val="0087283E"/>
    <w:rsid w:val="00891DD5"/>
    <w:rsid w:val="008B09FF"/>
    <w:rsid w:val="008D6C39"/>
    <w:rsid w:val="009A50F2"/>
    <w:rsid w:val="00A21F5A"/>
    <w:rsid w:val="00AD3C47"/>
    <w:rsid w:val="00BE00C9"/>
    <w:rsid w:val="00BF59E7"/>
    <w:rsid w:val="00C53AF9"/>
    <w:rsid w:val="00C81BB2"/>
    <w:rsid w:val="00CC6926"/>
    <w:rsid w:val="00D23B38"/>
    <w:rsid w:val="00D77A74"/>
    <w:rsid w:val="00DB2A0C"/>
    <w:rsid w:val="00E60509"/>
    <w:rsid w:val="00EB18D1"/>
    <w:rsid w:val="00EB6725"/>
    <w:rsid w:val="00EE39F4"/>
    <w:rsid w:val="00FD6794"/>
    <w:rsid w:val="10C731E4"/>
    <w:rsid w:val="29621D3D"/>
    <w:rsid w:val="34171B01"/>
    <w:rsid w:val="3FC20F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7">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655</Words>
  <Characters>815</Characters>
  <Lines>6</Lines>
  <Paragraphs>1</Paragraphs>
  <TotalTime>0</TotalTime>
  <ScaleCrop>false</ScaleCrop>
  <LinksUpToDate>false</LinksUpToDate>
  <CharactersWithSpaces>822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2016-12-29T02:03:00Z</dcterms:created>
  <dc:creator>微软用户</dc:creator>
  <cp:lastModifiedBy>广东省临床检验中心</cp:lastModifiedBy>
  <dcterms:modified xsi:type="dcterms:W3CDTF">2026-02-26T03:26:23Z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FBC332264F3E468DB96643CA51D18CA4_12</vt:lpwstr>
  </property>
  <property fmtid="{D5CDD505-2E9C-101B-9397-08002B2CF9AE}" pid="4" name="KSOTemplateDocerSaveRecord">
    <vt:lpwstr>eyJoZGlkIjoiZjMzYTEzNjA0MmM0YTIxM2FkZDdlMDU3NzI2MzQ0YzEiLCJ1c2VySWQiOiIzNjA0OTEwOTAifQ==</vt:lpwstr>
  </property>
</Properties>
</file>