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5BB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rPr>
        <w:t>广东省</w:t>
      </w:r>
      <w:r>
        <w:rPr>
          <w:rFonts w:hint="eastAsia" w:ascii="Times New Roman" w:hAnsi="Times New Roman" w:eastAsia="宋体" w:cs="Times New Roman"/>
          <w:b/>
          <w:sz w:val="28"/>
          <w:szCs w:val="28"/>
          <w:lang w:val="en-US" w:eastAsia="zh-CN"/>
        </w:rPr>
        <w:t>临床检验中心</w:t>
      </w:r>
    </w:p>
    <w:p w14:paraId="3BDF4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hint="eastAsia" w:ascii="Times New Roman" w:hAnsi="Times New Roman" w:eastAsia="宋体" w:cs="Times New Roman"/>
          <w:b/>
          <w:sz w:val="28"/>
          <w:szCs w:val="28"/>
          <w:lang w:val="en-US" w:eastAsia="zh-CN"/>
        </w:rPr>
        <w:t>6</w:t>
      </w:r>
      <w:r>
        <w:rPr>
          <w:rFonts w:hint="eastAsia" w:ascii="Times New Roman" w:hAnsi="Times New Roman" w:eastAsia="宋体" w:cs="Times New Roman"/>
          <w:b/>
          <w:sz w:val="28"/>
          <w:szCs w:val="28"/>
        </w:rPr>
        <w:t>年</w:t>
      </w:r>
      <w:r>
        <w:rPr>
          <w:rFonts w:hint="eastAsia" w:ascii="Times New Roman" w:hAnsi="Times New Roman" w:eastAsia="宋体" w:cs="Times New Roman"/>
          <w:b/>
          <w:sz w:val="28"/>
          <w:szCs w:val="28"/>
          <w:lang w:val="en-US" w:eastAsia="zh-CN"/>
        </w:rPr>
        <w:t>广东省</w:t>
      </w:r>
      <w:r>
        <w:rPr>
          <w:rFonts w:hint="eastAsia" w:ascii="Times New Roman" w:hAnsi="Times New Roman" w:eastAsia="宋体" w:cs="Times New Roman"/>
          <w:b/>
          <w:sz w:val="28"/>
          <w:szCs w:val="28"/>
        </w:rPr>
        <w:t>优生优育免疫学检测室间质量评价</w:t>
      </w:r>
    </w:p>
    <w:p w14:paraId="51CAC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活动安排及注意事项</w:t>
      </w:r>
    </w:p>
    <w:p w14:paraId="5173D681">
      <w:pPr>
        <w:pStyle w:val="11"/>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Times New Roman" w:hAnsi="Times New Roman" w:eastAsia="宋体" w:cs="宋体"/>
          <w:b/>
          <w:bCs/>
          <w:kern w:val="0"/>
          <w:sz w:val="21"/>
          <w:szCs w:val="21"/>
          <w:lang w:val="en-US" w:eastAsia="zh-CN" w:bidi="ar-SA"/>
        </w:rPr>
      </w:pPr>
    </w:p>
    <w:p w14:paraId="67A5AAAD">
      <w:pPr>
        <w:pStyle w:val="11"/>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w:t>
      </w:r>
      <w:r>
        <w:rPr>
          <w:rFonts w:hint="eastAsia" w:ascii="Times New Roman" w:hAnsi="Times New Roman" w:eastAsia="宋体" w:cs="宋体"/>
          <w:b/>
          <w:bCs/>
          <w:kern w:val="0"/>
          <w:sz w:val="21"/>
          <w:szCs w:val="21"/>
          <w:lang w:val="en-US" w:eastAsia="zh-CN" w:bidi="ar-SA"/>
        </w:rPr>
        <w:t>评价项目</w:t>
      </w:r>
      <w:r>
        <w:rPr>
          <w:rFonts w:hint="eastAsia" w:ascii="Times New Roman" w:hAnsi="Times New Roman" w:eastAsia="宋体" w:cs="宋体"/>
          <w:b/>
          <w:bCs/>
          <w:kern w:val="0"/>
          <w:sz w:val="21"/>
          <w:szCs w:val="21"/>
          <w:lang w:val="en-US" w:eastAsia="zh-CN" w:bidi="ar-SA"/>
        </w:rPr>
        <w:t>与时间表</w:t>
      </w:r>
    </w:p>
    <w:p w14:paraId="49861D55">
      <w:pPr>
        <w:pStyle w:val="2"/>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right="0" w:rightChars="0" w:firstLine="420" w:firstLineChars="200"/>
        <w:jc w:val="both"/>
        <w:textAlignment w:val="auto"/>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202</w:t>
      </w:r>
      <w:r>
        <w:rPr>
          <w:rFonts w:hint="eastAsia" w:ascii="Times New Roman" w:hAnsi="Times New Roman" w:eastAsia="宋体" w:cs="Times New Roman"/>
          <w:sz w:val="21"/>
          <w:szCs w:val="20"/>
          <w:lang w:val="en-US" w:eastAsia="zh-CN"/>
        </w:rPr>
        <w:t>6</w:t>
      </w:r>
      <w:r>
        <w:rPr>
          <w:rFonts w:hint="default" w:ascii="Times New Roman" w:hAnsi="Times New Roman" w:eastAsia="宋体" w:cs="Times New Roman"/>
          <w:sz w:val="21"/>
          <w:szCs w:val="20"/>
        </w:rPr>
        <w:t xml:space="preserve"> 年</w:t>
      </w:r>
      <w:r>
        <w:rPr>
          <w:rFonts w:hint="eastAsia" w:ascii="Times New Roman" w:hAnsi="Times New Roman" w:eastAsia="宋体" w:cs="Times New Roman"/>
          <w:sz w:val="21"/>
          <w:szCs w:val="20"/>
          <w:lang w:val="en-US" w:eastAsia="zh-CN"/>
        </w:rPr>
        <w:t>广东省优生优育免疫学检测</w:t>
      </w:r>
      <w:r>
        <w:rPr>
          <w:rFonts w:hint="default" w:ascii="Times New Roman" w:hAnsi="Times New Roman" w:eastAsia="宋体" w:cs="Times New Roman"/>
          <w:sz w:val="21"/>
          <w:szCs w:val="20"/>
          <w:lang w:val="en-US" w:eastAsia="zh-CN"/>
        </w:rPr>
        <w:t>室间质</w:t>
      </w:r>
      <w:r>
        <w:rPr>
          <w:rFonts w:hint="default" w:ascii="Times New Roman" w:hAnsi="Times New Roman" w:eastAsia="宋体" w:cs="Times New Roman"/>
          <w:sz w:val="21"/>
          <w:szCs w:val="20"/>
        </w:rPr>
        <w:t>评包括 TG（弓形体）、 HSV</w:t>
      </w:r>
      <w:r>
        <w:rPr>
          <w:rFonts w:hint="eastAsia" w:ascii="Times New Roman" w:hAnsi="Times New Roman" w:eastAsia="宋体" w:cs="Times New Roman"/>
          <w:sz w:val="21"/>
          <w:szCs w:val="20"/>
          <w:lang w:val="en-US" w:eastAsia="zh-CN"/>
        </w:rPr>
        <w:t xml:space="preserve"> </w:t>
      </w:r>
      <w:r>
        <w:rPr>
          <w:rFonts w:hint="eastAsia" w:ascii="Times New Roman" w:hAnsi="Times New Roman" w:eastAsia="宋体" w:cs="Times New Roman"/>
          <w:kern w:val="2"/>
          <w:sz w:val="21"/>
          <w:szCs w:val="20"/>
          <w:lang w:val="en-US" w:eastAsia="zh-CN" w:bidi="ar-SA"/>
        </w:rPr>
        <w:t>I</w:t>
      </w:r>
      <w:r>
        <w:rPr>
          <w:rFonts w:hint="default" w:ascii="Times New Roman" w:hAnsi="Times New Roman" w:eastAsia="宋体" w:cs="Times New Roman"/>
          <w:sz w:val="21"/>
          <w:szCs w:val="20"/>
        </w:rPr>
        <w:t>（单纯疱疹病毒-1）、HSV</w:t>
      </w:r>
      <w:r>
        <w:rPr>
          <w:rFonts w:hint="eastAsia" w:ascii="Times New Roman" w:hAnsi="Times New Roman" w:eastAsia="宋体" w:cs="Times New Roman"/>
          <w:sz w:val="21"/>
          <w:szCs w:val="20"/>
          <w:lang w:val="en-US" w:eastAsia="zh-CN"/>
        </w:rPr>
        <w:t xml:space="preserve"> </w:t>
      </w:r>
      <w:r>
        <w:rPr>
          <w:rFonts w:hint="eastAsia" w:ascii="Times New Roman" w:hAnsi="Times New Roman" w:eastAsia="宋体" w:cs="Times New Roman"/>
          <w:kern w:val="2"/>
          <w:sz w:val="21"/>
          <w:szCs w:val="20"/>
          <w:lang w:val="en-US" w:eastAsia="zh-CN" w:bidi="ar-SA"/>
        </w:rPr>
        <w:t>II</w:t>
      </w:r>
      <w:r>
        <w:rPr>
          <w:rFonts w:hint="default" w:ascii="Times New Roman" w:hAnsi="Times New Roman" w:eastAsia="宋体" w:cs="Times New Roman"/>
          <w:sz w:val="21"/>
          <w:szCs w:val="20"/>
        </w:rPr>
        <w:t>（单纯疱疹病毒-2）、CMV（巨细胞病毒）、RV（风疹病毒）五个项目的 IgM 及 IgG 检测。全年共计 20 支样本，分为两批次，每批次10支（5支 IgG，5支 IgM）, 样本编号及信息见</w:t>
      </w:r>
      <w:r>
        <w:rPr>
          <w:rFonts w:hint="default" w:ascii="Times New Roman" w:hAnsi="Times New Roman" w:eastAsia="宋体" w:cs="Times New Roman"/>
          <w:b/>
          <w:bCs/>
          <w:sz w:val="21"/>
          <w:szCs w:val="20"/>
        </w:rPr>
        <w:t>表1</w:t>
      </w:r>
      <w:r>
        <w:rPr>
          <w:rFonts w:hint="default" w:ascii="Times New Roman" w:hAnsi="Times New Roman" w:eastAsia="宋体" w:cs="Times New Roman"/>
          <w:sz w:val="21"/>
          <w:szCs w:val="20"/>
        </w:rPr>
        <w:t>。</w:t>
      </w:r>
    </w:p>
    <w:p w14:paraId="1C6DE183">
      <w:pPr>
        <w:pStyle w:val="2"/>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right="0" w:rightChars="0" w:firstLine="420" w:firstLineChars="200"/>
        <w:jc w:val="both"/>
        <w:textAlignment w:val="auto"/>
        <w:rPr>
          <w:rFonts w:hint="eastAsia"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本年度两批次样本同时邮寄，请实验室收到样本后</w:t>
      </w:r>
      <w:r>
        <w:rPr>
          <w:rFonts w:hint="eastAsia" w:ascii="Times New Roman" w:hAnsi="Times New Roman" w:eastAsia="宋体" w:cs="Times New Roman"/>
          <w:sz w:val="21"/>
          <w:szCs w:val="20"/>
          <w:lang w:eastAsia="zh-CN"/>
        </w:rPr>
        <w:t>，</w:t>
      </w:r>
      <w:r>
        <w:rPr>
          <w:rFonts w:hint="eastAsia" w:ascii="Times New Roman" w:hAnsi="Times New Roman" w:eastAsia="宋体" w:cs="Times New Roman"/>
          <w:sz w:val="21"/>
          <w:szCs w:val="20"/>
          <w:lang w:val="en-US" w:eastAsia="zh-CN"/>
        </w:rPr>
        <w:t>按照活动安排时间</w:t>
      </w:r>
      <w:r>
        <w:rPr>
          <w:rFonts w:hint="default" w:ascii="Times New Roman" w:hAnsi="Times New Roman" w:eastAsia="宋体" w:cs="Times New Roman"/>
          <w:sz w:val="21"/>
          <w:szCs w:val="20"/>
        </w:rPr>
        <w:t>测</w:t>
      </w:r>
      <w:r>
        <w:rPr>
          <w:rFonts w:hint="eastAsia" w:ascii="Times New Roman" w:hAnsi="Times New Roman" w:eastAsia="宋体" w:cs="Times New Roman"/>
          <w:sz w:val="21"/>
          <w:szCs w:val="20"/>
          <w:lang w:val="en-US" w:eastAsia="zh-CN"/>
        </w:rPr>
        <w:t>定</w:t>
      </w:r>
      <w:r>
        <w:rPr>
          <w:rFonts w:hint="default" w:ascii="Times New Roman" w:hAnsi="Times New Roman" w:eastAsia="宋体" w:cs="Times New Roman"/>
          <w:sz w:val="21"/>
          <w:szCs w:val="20"/>
        </w:rPr>
        <w:t>（两批次</w:t>
      </w:r>
      <w:r>
        <w:rPr>
          <w:rFonts w:hint="eastAsia" w:ascii="Times New Roman" w:hAnsi="Times New Roman" w:eastAsia="宋体" w:cs="Times New Roman"/>
          <w:sz w:val="21"/>
          <w:szCs w:val="20"/>
          <w:lang w:val="en-US" w:eastAsia="zh-CN"/>
        </w:rPr>
        <w:t>分开</w:t>
      </w:r>
      <w:r>
        <w:rPr>
          <w:rFonts w:hint="default" w:ascii="Times New Roman" w:hAnsi="Times New Roman" w:eastAsia="宋体" w:cs="Times New Roman"/>
          <w:sz w:val="21"/>
          <w:szCs w:val="20"/>
        </w:rPr>
        <w:t>检测，分批回报结果）</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两次活动报表将按照时间先后顺序下发，具体活动安排见</w:t>
      </w:r>
      <w:r>
        <w:rPr>
          <w:rFonts w:hint="default" w:ascii="Times New Roman" w:hAnsi="Times New Roman" w:eastAsia="宋体" w:cs="Times New Roman"/>
          <w:b/>
          <w:bCs/>
          <w:sz w:val="21"/>
          <w:szCs w:val="20"/>
        </w:rPr>
        <w:t>表</w:t>
      </w:r>
      <w:r>
        <w:rPr>
          <w:rFonts w:hint="eastAsia" w:ascii="Times New Roman" w:hAnsi="Times New Roman" w:eastAsia="宋体" w:cs="Times New Roman"/>
          <w:b/>
          <w:bCs/>
          <w:sz w:val="21"/>
          <w:szCs w:val="20"/>
          <w:lang w:val="en-US" w:eastAsia="zh-CN"/>
        </w:rPr>
        <w:t>2</w:t>
      </w:r>
      <w:r>
        <w:rPr>
          <w:rFonts w:hint="eastAsia" w:ascii="Times New Roman" w:hAnsi="Times New Roman" w:eastAsia="宋体" w:cs="Times New Roman"/>
          <w:sz w:val="21"/>
          <w:szCs w:val="20"/>
          <w:lang w:val="en-US" w:eastAsia="zh-CN"/>
        </w:rPr>
        <w:t>。</w:t>
      </w:r>
    </w:p>
    <w:p w14:paraId="42DAFE20">
      <w:pPr>
        <w:pStyle w:val="2"/>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200" w:right="0" w:rightChars="0" w:firstLine="420" w:firstLineChars="200"/>
        <w:jc w:val="both"/>
        <w:textAlignment w:val="auto"/>
        <w:rPr>
          <w:rFonts w:hint="eastAsia" w:ascii="Times New Roman" w:hAnsi="Times New Roman" w:eastAsia="宋体" w:cs="Times New Roman"/>
          <w:sz w:val="21"/>
          <w:szCs w:val="20"/>
          <w:lang w:val="en-US" w:eastAsia="zh-CN"/>
        </w:rPr>
      </w:pPr>
    </w:p>
    <w:p w14:paraId="65ABB983">
      <w:pPr>
        <w:keepNext w:val="0"/>
        <w:keepLines w:val="0"/>
        <w:widowControl/>
        <w:suppressLineNumbers w:val="0"/>
        <w:jc w:val="center"/>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b/>
          <w:bCs/>
          <w:color w:val="000000"/>
          <w:kern w:val="0"/>
          <w:sz w:val="21"/>
          <w:szCs w:val="21"/>
          <w:lang w:val="en-US" w:eastAsia="zh-CN" w:bidi="ar"/>
        </w:rPr>
        <w:t xml:space="preserve">表 </w:t>
      </w:r>
      <w:r>
        <w:rPr>
          <w:rFonts w:hint="default" w:ascii="Times New Roman" w:hAnsi="Times New Roman" w:eastAsia="宋体" w:cs="Times New Roman"/>
          <w:b/>
          <w:bCs/>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202</w:t>
      </w:r>
      <w:r>
        <w:rPr>
          <w:rFonts w:hint="eastAsia" w:ascii="Times New Roman" w:hAnsi="Times New Roman" w:eastAsia="宋体"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宋体"/>
          <w:color w:val="000000"/>
          <w:kern w:val="0"/>
          <w:sz w:val="21"/>
          <w:szCs w:val="21"/>
          <w:lang w:val="en-US" w:eastAsia="zh-CN" w:bidi="ar"/>
        </w:rPr>
        <w:t>年</w:t>
      </w:r>
      <w:r>
        <w:rPr>
          <w:rFonts w:hint="eastAsia" w:ascii="Times New Roman" w:hAnsi="Times New Roman" w:eastAsia="宋体" w:cs="Times New Roman"/>
          <w:sz w:val="21"/>
          <w:szCs w:val="20"/>
          <w:lang w:val="en-US" w:eastAsia="zh-CN"/>
        </w:rPr>
        <w:t>广东省优生优育免疫学检测</w:t>
      </w:r>
      <w:r>
        <w:rPr>
          <w:rFonts w:hint="eastAsia" w:ascii="Times New Roman" w:hAnsi="Times New Roman" w:eastAsia="宋体" w:cs="宋体"/>
          <w:color w:val="000000"/>
          <w:kern w:val="0"/>
          <w:sz w:val="21"/>
          <w:szCs w:val="21"/>
          <w:lang w:val="en-US" w:eastAsia="zh-CN" w:bidi="ar"/>
        </w:rPr>
        <w:t>室间质评样本编号及信息</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431"/>
        <w:gridCol w:w="2619"/>
        <w:gridCol w:w="1579"/>
        <w:gridCol w:w="2546"/>
      </w:tblGrid>
      <w:tr w14:paraId="7B6A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0" w:type="pct"/>
          </w:tcPr>
          <w:p w14:paraId="047F5236">
            <w:pPr>
              <w:keepNext w:val="0"/>
              <w:keepLines w:val="0"/>
              <w:widowControl/>
              <w:suppressLineNumbers w:val="0"/>
              <w:jc w:val="center"/>
              <w:rPr>
                <w:rFonts w:hint="eastAsia" w:ascii="Times New Roman" w:hAnsi="Times New Roman" w:eastAsia="宋体" w:cs="宋体"/>
                <w:color w:val="000000"/>
                <w:kern w:val="0"/>
                <w:sz w:val="21"/>
                <w:szCs w:val="21"/>
                <w:vertAlign w:val="baseline"/>
                <w:lang w:val="en-US" w:eastAsia="zh-CN" w:bidi="ar"/>
              </w:rPr>
            </w:pPr>
          </w:p>
        </w:tc>
        <w:tc>
          <w:tcPr>
            <w:tcW w:w="2055" w:type="pct"/>
            <w:gridSpan w:val="2"/>
          </w:tcPr>
          <w:p w14:paraId="1553BAF3">
            <w:pPr>
              <w:keepNext w:val="0"/>
              <w:keepLines w:val="0"/>
              <w:widowControl/>
              <w:suppressLineNumbers w:val="0"/>
              <w:jc w:val="center"/>
              <w:rPr>
                <w:rFonts w:hint="default"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IgG</w:t>
            </w:r>
            <w:r>
              <w:rPr>
                <w:rFonts w:hint="eastAsia" w:ascii="Times New Roman" w:hAnsi="Times New Roman" w:eastAsia="宋体" w:cs="宋体"/>
                <w:color w:val="000000"/>
                <w:kern w:val="0"/>
                <w:sz w:val="21"/>
                <w:szCs w:val="21"/>
                <w:vertAlign w:val="baseline"/>
                <w:lang w:val="en-US" w:eastAsia="zh-CN" w:bidi="ar"/>
              </w:rPr>
              <w:t>质评样本</w:t>
            </w:r>
          </w:p>
        </w:tc>
        <w:tc>
          <w:tcPr>
            <w:tcW w:w="2093" w:type="pct"/>
            <w:gridSpan w:val="2"/>
          </w:tcPr>
          <w:p w14:paraId="6E12CC4F">
            <w:pPr>
              <w:keepNext w:val="0"/>
              <w:keepLines w:val="0"/>
              <w:widowControl/>
              <w:suppressLineNumbers w:val="0"/>
              <w:jc w:val="center"/>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IgM</w:t>
            </w:r>
            <w:r>
              <w:rPr>
                <w:rFonts w:hint="eastAsia" w:ascii="Times New Roman" w:hAnsi="Times New Roman" w:eastAsia="宋体" w:cs="宋体"/>
                <w:color w:val="000000"/>
                <w:kern w:val="0"/>
                <w:sz w:val="21"/>
                <w:szCs w:val="21"/>
                <w:vertAlign w:val="baseline"/>
                <w:lang w:val="en-US" w:eastAsia="zh-CN" w:bidi="ar"/>
              </w:rPr>
              <w:t>质评样本</w:t>
            </w:r>
          </w:p>
        </w:tc>
      </w:tr>
      <w:tr w14:paraId="6496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0" w:type="pct"/>
          </w:tcPr>
          <w:p w14:paraId="5F8AF481">
            <w:pPr>
              <w:keepNext w:val="0"/>
              <w:keepLines w:val="0"/>
              <w:widowControl/>
              <w:suppressLineNumbers w:val="0"/>
              <w:jc w:val="center"/>
              <w:rPr>
                <w:rFonts w:hint="default" w:ascii="Times New Roman" w:hAnsi="Times New Roman" w:eastAsia="宋体" w:cs="宋体"/>
                <w:b/>
                <w:bCs/>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样本批次</w:t>
            </w:r>
          </w:p>
        </w:tc>
        <w:tc>
          <w:tcPr>
            <w:tcW w:w="726" w:type="pct"/>
          </w:tcPr>
          <w:p w14:paraId="00176B28">
            <w:pPr>
              <w:keepNext w:val="0"/>
              <w:keepLines w:val="0"/>
              <w:widowControl/>
              <w:suppressLineNumbers w:val="0"/>
              <w:jc w:val="center"/>
              <w:rPr>
                <w:rFonts w:hint="default" w:ascii="Times New Roman" w:hAnsi="Times New Roman" w:eastAsia="宋体" w:cs="宋体"/>
                <w:b/>
                <w:bCs/>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检测项目</w:t>
            </w:r>
          </w:p>
        </w:tc>
        <w:tc>
          <w:tcPr>
            <w:tcW w:w="1329" w:type="pct"/>
          </w:tcPr>
          <w:p w14:paraId="374B8A63">
            <w:pPr>
              <w:keepNext w:val="0"/>
              <w:keepLines w:val="0"/>
              <w:widowControl/>
              <w:suppressLineNumbers w:val="0"/>
              <w:jc w:val="center"/>
              <w:rPr>
                <w:rFonts w:hint="default" w:ascii="Times New Roman" w:hAnsi="Times New Roman" w:eastAsia="宋体" w:cs="宋体"/>
                <w:b/>
                <w:bCs/>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样本编号</w:t>
            </w:r>
          </w:p>
        </w:tc>
        <w:tc>
          <w:tcPr>
            <w:tcW w:w="801" w:type="pct"/>
            <w:shd w:val="clear" w:color="auto" w:fill="auto"/>
            <w:vAlign w:val="top"/>
          </w:tcPr>
          <w:p w14:paraId="3E34F289">
            <w:pPr>
              <w:keepNext w:val="0"/>
              <w:keepLines w:val="0"/>
              <w:widowControl/>
              <w:suppressLineNumbers w:val="0"/>
              <w:jc w:val="center"/>
              <w:rPr>
                <w:rFonts w:hint="eastAsia" w:ascii="Times New Roman" w:hAnsi="Times New Roman" w:eastAsia="宋体" w:cs="宋体"/>
                <w:b/>
                <w:bCs/>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检测项目</w:t>
            </w:r>
          </w:p>
        </w:tc>
        <w:tc>
          <w:tcPr>
            <w:tcW w:w="1291" w:type="pct"/>
            <w:shd w:val="clear" w:color="auto" w:fill="auto"/>
            <w:vAlign w:val="top"/>
          </w:tcPr>
          <w:p w14:paraId="7AAAC1E9">
            <w:pPr>
              <w:keepNext w:val="0"/>
              <w:keepLines w:val="0"/>
              <w:widowControl/>
              <w:suppressLineNumbers w:val="0"/>
              <w:jc w:val="center"/>
              <w:rPr>
                <w:rFonts w:hint="eastAsia" w:ascii="Times New Roman" w:hAnsi="Times New Roman" w:eastAsia="宋体" w:cs="宋体"/>
                <w:b/>
                <w:bCs/>
                <w:color w:val="000000"/>
                <w:kern w:val="0"/>
                <w:sz w:val="21"/>
                <w:szCs w:val="21"/>
                <w:vertAlign w:val="baseline"/>
                <w:lang w:val="en-US" w:eastAsia="zh-CN" w:bidi="ar"/>
              </w:rPr>
            </w:pPr>
            <w:r>
              <w:rPr>
                <w:rFonts w:hint="eastAsia" w:ascii="Times New Roman" w:hAnsi="Times New Roman" w:eastAsia="宋体" w:cs="宋体"/>
                <w:b/>
                <w:bCs/>
                <w:color w:val="000000"/>
                <w:kern w:val="0"/>
                <w:sz w:val="21"/>
                <w:szCs w:val="21"/>
                <w:vertAlign w:val="baseline"/>
                <w:lang w:val="en-US" w:eastAsia="zh-CN" w:bidi="ar"/>
              </w:rPr>
              <w:t>样本编号</w:t>
            </w:r>
          </w:p>
        </w:tc>
      </w:tr>
      <w:tr w14:paraId="12B8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50" w:type="pct"/>
            <w:vAlign w:val="center"/>
          </w:tcPr>
          <w:p w14:paraId="2CD304D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2026年第一批</w:t>
            </w:r>
          </w:p>
        </w:tc>
        <w:tc>
          <w:tcPr>
            <w:tcW w:w="726" w:type="pct"/>
            <w:vAlign w:val="center"/>
          </w:tcPr>
          <w:p w14:paraId="60FA37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TORCH IgG</w:t>
            </w:r>
          </w:p>
        </w:tc>
        <w:tc>
          <w:tcPr>
            <w:tcW w:w="1329" w:type="pct"/>
            <w:vAlign w:val="center"/>
          </w:tcPr>
          <w:p w14:paraId="7B90592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202611，202612，</w:t>
            </w:r>
          </w:p>
          <w:p w14:paraId="5B9656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202613，202614，202615</w:t>
            </w:r>
          </w:p>
        </w:tc>
        <w:tc>
          <w:tcPr>
            <w:tcW w:w="801" w:type="pct"/>
            <w:vAlign w:val="center"/>
          </w:tcPr>
          <w:p w14:paraId="71E7299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TORCH IgM</w:t>
            </w:r>
          </w:p>
        </w:tc>
        <w:tc>
          <w:tcPr>
            <w:tcW w:w="2546" w:type="dxa"/>
            <w:shd w:val="clear" w:color="auto" w:fill="auto"/>
            <w:vAlign w:val="center"/>
          </w:tcPr>
          <w:p w14:paraId="1B2250C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202611，202612，</w:t>
            </w:r>
          </w:p>
          <w:p w14:paraId="38637AD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202613，202614，202615</w:t>
            </w:r>
          </w:p>
        </w:tc>
      </w:tr>
      <w:tr w14:paraId="2577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50" w:type="pct"/>
            <w:vAlign w:val="center"/>
          </w:tcPr>
          <w:p w14:paraId="49CE14C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2026年第二批</w:t>
            </w:r>
          </w:p>
        </w:tc>
        <w:tc>
          <w:tcPr>
            <w:tcW w:w="726" w:type="pct"/>
            <w:vAlign w:val="center"/>
          </w:tcPr>
          <w:p w14:paraId="20B9E78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TORCH IgG</w:t>
            </w:r>
          </w:p>
        </w:tc>
        <w:tc>
          <w:tcPr>
            <w:tcW w:w="1329" w:type="pct"/>
            <w:vAlign w:val="center"/>
          </w:tcPr>
          <w:p w14:paraId="6DE74F6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202621，202622，</w:t>
            </w:r>
          </w:p>
          <w:p w14:paraId="59F019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202623，202624，202625</w:t>
            </w:r>
          </w:p>
        </w:tc>
        <w:tc>
          <w:tcPr>
            <w:tcW w:w="801" w:type="pct"/>
            <w:vAlign w:val="center"/>
          </w:tcPr>
          <w:p w14:paraId="44E3F2D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TORCH IgM</w:t>
            </w:r>
          </w:p>
        </w:tc>
        <w:tc>
          <w:tcPr>
            <w:tcW w:w="2546" w:type="dxa"/>
            <w:shd w:val="clear" w:color="auto" w:fill="auto"/>
            <w:vAlign w:val="center"/>
          </w:tcPr>
          <w:p w14:paraId="209BD89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202621，202622，</w:t>
            </w:r>
          </w:p>
          <w:p w14:paraId="375A44B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202623，202624，202625</w:t>
            </w:r>
          </w:p>
        </w:tc>
      </w:tr>
    </w:tbl>
    <w:p w14:paraId="3ED530B7">
      <w:pPr>
        <w:keepNext w:val="0"/>
        <w:keepLines w:val="0"/>
        <w:widowControl/>
        <w:suppressLineNumbers w:val="0"/>
        <w:jc w:val="center"/>
        <w:rPr>
          <w:rFonts w:hint="eastAsia" w:ascii="Times New Roman" w:hAnsi="Times New Roman" w:eastAsia="宋体" w:cs="宋体"/>
          <w:color w:val="000000"/>
          <w:kern w:val="0"/>
          <w:sz w:val="21"/>
          <w:szCs w:val="21"/>
          <w:lang w:val="en-US" w:eastAsia="zh-CN" w:bidi="ar"/>
        </w:rPr>
      </w:pPr>
    </w:p>
    <w:p w14:paraId="709098C1">
      <w:pPr>
        <w:keepNext w:val="0"/>
        <w:keepLines w:val="0"/>
        <w:widowControl/>
        <w:suppressLineNumbers w:val="0"/>
        <w:jc w:val="center"/>
        <w:rPr>
          <w:rFonts w:hint="eastAsia" w:ascii="Times New Roman" w:hAnsi="Times New Roman" w:eastAsia="宋体" w:cs="Times New Roman"/>
          <w:sz w:val="21"/>
          <w:szCs w:val="20"/>
          <w:lang w:val="en-US" w:eastAsia="zh-CN"/>
        </w:rPr>
      </w:pPr>
      <w:r>
        <w:rPr>
          <w:rFonts w:hint="eastAsia" w:ascii="Times New Roman" w:hAnsi="Times New Roman" w:eastAsia="宋体" w:cs="宋体"/>
          <w:b/>
          <w:bCs/>
          <w:color w:val="000000"/>
          <w:kern w:val="0"/>
          <w:sz w:val="21"/>
          <w:szCs w:val="21"/>
          <w:lang w:val="en-US" w:eastAsia="zh-CN" w:bidi="ar"/>
        </w:rPr>
        <w:t xml:space="preserve">表 </w:t>
      </w:r>
      <w:r>
        <w:rPr>
          <w:rFonts w:hint="default" w:ascii="Times New Roman" w:hAnsi="Times New Roman" w:eastAsia="宋体" w:cs="Times New Roman"/>
          <w:b/>
          <w:bCs/>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202</w:t>
      </w:r>
      <w:r>
        <w:rPr>
          <w:rFonts w:hint="eastAsia" w:ascii="Times New Roman" w:hAnsi="Times New Roman" w:eastAsia="宋体"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宋体"/>
          <w:color w:val="000000"/>
          <w:kern w:val="0"/>
          <w:sz w:val="21"/>
          <w:szCs w:val="21"/>
          <w:lang w:val="en-US" w:eastAsia="zh-CN" w:bidi="ar"/>
        </w:rPr>
        <w:t>年</w:t>
      </w:r>
      <w:r>
        <w:rPr>
          <w:rFonts w:hint="eastAsia" w:ascii="Times New Roman" w:hAnsi="Times New Roman" w:eastAsia="宋体" w:cs="Times New Roman"/>
          <w:sz w:val="21"/>
          <w:szCs w:val="20"/>
          <w:lang w:val="en-US" w:eastAsia="zh-CN"/>
        </w:rPr>
        <w:t>广东省优生优育免疫学检测</w:t>
      </w:r>
      <w:r>
        <w:rPr>
          <w:rFonts w:hint="eastAsia" w:ascii="Times New Roman" w:hAnsi="Times New Roman" w:eastAsia="宋体" w:cs="宋体"/>
          <w:color w:val="000000"/>
          <w:kern w:val="0"/>
          <w:sz w:val="21"/>
          <w:szCs w:val="21"/>
          <w:lang w:val="en-US" w:eastAsia="zh-CN" w:bidi="ar"/>
        </w:rPr>
        <w:t>室间质评室间质评活动安排</w:t>
      </w:r>
    </w:p>
    <w:tbl>
      <w:tblPr>
        <w:tblStyle w:val="6"/>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368"/>
        <w:gridCol w:w="1770"/>
        <w:gridCol w:w="2234"/>
        <w:gridCol w:w="2234"/>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22"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20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900"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1136"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1136"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22"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2368" w:type="dxa"/>
            <w:vAlign w:val="center"/>
          </w:tcPr>
          <w:p w14:paraId="0190D68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202611，202612，</w:t>
            </w:r>
          </w:p>
          <w:p w14:paraId="3FF83BE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202613，202614，202615</w:t>
            </w:r>
          </w:p>
        </w:tc>
        <w:tc>
          <w:tcPr>
            <w:tcW w:w="900"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1136"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1136"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2"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2368" w:type="dxa"/>
            <w:vAlign w:val="center"/>
          </w:tcPr>
          <w:p w14:paraId="639E38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202621，202622，</w:t>
            </w:r>
          </w:p>
          <w:p w14:paraId="2E50A9F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202623，202624，202625</w:t>
            </w:r>
          </w:p>
        </w:tc>
        <w:tc>
          <w:tcPr>
            <w:tcW w:w="900"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1136"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1136"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16B14419">
      <w:pPr>
        <w:keepNext w:val="0"/>
        <w:keepLines w:val="0"/>
        <w:widowControl/>
        <w:suppressLineNumbers w:val="0"/>
        <w:ind w:firstLine="211" w:firstLineChars="100"/>
        <w:jc w:val="left"/>
        <w:rPr>
          <w:rFonts w:ascii="Times New Roman" w:hAnsi="Times New Roman" w:eastAsia="宋体"/>
          <w:color w:val="FF0000"/>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1D1A5797">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二、样本处理方法 </w:t>
      </w:r>
    </w:p>
    <w:p w14:paraId="36C150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1. IgG 质控品为液体，0.25ml/支，该样本是原倍样本，检测时视同病人样本对待。 </w:t>
      </w:r>
    </w:p>
    <w:p w14:paraId="1C105F9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2. IgM 质控品为液体，0.25ml/支，该样本是原倍样本，检测时视同病人样本对待。 </w:t>
      </w:r>
    </w:p>
    <w:p w14:paraId="303B1A2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 HSV I 和 HSV II 混合检测的试剂（不能区分 HSV I 和 HSV II），填写回报表时，只填写 HSV</w:t>
      </w:r>
      <w:r>
        <w:rPr>
          <w:rFonts w:hint="eastAsia" w:ascii="Times New Roman" w:hAnsi="Times New Roman" w:eastAsia="宋体" w:cs="宋体"/>
          <w:shadow/>
          <w:sz w:val="18"/>
          <w:szCs w:val="18"/>
          <w:lang w:val="en-US" w:eastAsia="zh-CN"/>
        </w:rPr>
        <w:t xml:space="preserve"> </w:t>
      </w:r>
      <w:r>
        <w:rPr>
          <w:rFonts w:hint="eastAsia" w:ascii="Times New Roman" w:hAnsi="Times New Roman" w:eastAsia="宋体" w:cs="Times New Roman"/>
          <w:kern w:val="2"/>
          <w:sz w:val="21"/>
          <w:szCs w:val="20"/>
          <w:lang w:val="en-US" w:eastAsia="zh-CN" w:bidi="ar-SA"/>
        </w:rPr>
        <w:t>I/II IgG 或 HSV</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Times New Roman"/>
          <w:kern w:val="2"/>
          <w:sz w:val="21"/>
          <w:szCs w:val="20"/>
          <w:lang w:val="en-US" w:eastAsia="zh-CN" w:bidi="ar-SA"/>
        </w:rPr>
        <w:t>I/II IgM 结果，不需分别填写 HSV I 和 HSV II 检测结果。HSV I 和 HSV II 分别检测的试剂， 填写回报表时，分别填写 HSV I 和 HSV II检测结果，不需填写 HSV</w:t>
      </w:r>
      <w:r>
        <w:rPr>
          <w:rFonts w:hint="eastAsia" w:ascii="Times New Roman" w:hAnsi="Times New Roman" w:eastAsia="宋体" w:cs="宋体"/>
          <w:shadow/>
          <w:sz w:val="18"/>
          <w:szCs w:val="18"/>
          <w:lang w:val="en-US" w:eastAsia="zh-CN"/>
        </w:rPr>
        <w:t xml:space="preserve"> </w:t>
      </w:r>
      <w:r>
        <w:rPr>
          <w:rFonts w:hint="eastAsia" w:ascii="Times New Roman" w:hAnsi="Times New Roman" w:eastAsia="宋体" w:cs="Times New Roman"/>
          <w:kern w:val="2"/>
          <w:sz w:val="21"/>
          <w:szCs w:val="20"/>
          <w:lang w:val="en-US" w:eastAsia="zh-CN" w:bidi="ar-SA"/>
        </w:rPr>
        <w:t xml:space="preserve">I/II IgG 或 IgM 结果。 </w:t>
      </w:r>
    </w:p>
    <w:p w14:paraId="05D9EE8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 xml:space="preserve">4. 因成绩按照定性结果评判，所有项目请务必填写定性结果。第一次和第二次检测方法和检测项目务必保持一致，以免影响年终证书合格项目评定。 </w:t>
      </w:r>
    </w:p>
    <w:p w14:paraId="03E835B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 收到质控血清后，应立即检查</w:t>
      </w:r>
      <w:r>
        <w:rPr>
          <w:rFonts w:hint="eastAsia" w:ascii="Times New Roman" w:hAnsi="Times New Roman" w:eastAsia="宋体" w:cs="Times New Roman"/>
          <w:kern w:val="2"/>
          <w:sz w:val="21"/>
          <w:szCs w:val="20"/>
          <w:lang w:val="en-US" w:eastAsia="zh-CN" w:bidi="ar-SA"/>
        </w:rPr>
        <w:t>样本</w:t>
      </w:r>
      <w:r>
        <w:rPr>
          <w:rFonts w:hint="eastAsia" w:ascii="Times New Roman" w:hAnsi="Times New Roman" w:eastAsia="宋体" w:cs="Times New Roman"/>
          <w:kern w:val="2"/>
          <w:sz w:val="21"/>
          <w:szCs w:val="20"/>
          <w:lang w:val="en-US" w:eastAsia="zh-CN" w:bidi="ar-SA"/>
        </w:rPr>
        <w:t>的批号、数量是否与活动安排相符，检查</w:t>
      </w:r>
      <w:r>
        <w:rPr>
          <w:rFonts w:hint="eastAsia" w:ascii="Times New Roman" w:hAnsi="Times New Roman" w:eastAsia="宋体" w:cs="Times New Roman"/>
          <w:kern w:val="2"/>
          <w:sz w:val="21"/>
          <w:szCs w:val="20"/>
          <w:lang w:val="en-US" w:eastAsia="zh-CN" w:bidi="ar-SA"/>
        </w:rPr>
        <w:t>样本</w:t>
      </w:r>
      <w:r>
        <w:rPr>
          <w:rFonts w:hint="eastAsia" w:ascii="Times New Roman" w:hAnsi="Times New Roman" w:eastAsia="宋体" w:cs="Times New Roman"/>
          <w:kern w:val="2"/>
          <w:sz w:val="21"/>
          <w:szCs w:val="20"/>
          <w:lang w:val="en-US" w:eastAsia="zh-CN" w:bidi="ar-SA"/>
        </w:rPr>
        <w:t>是否渗漏。若发现室间质评样品出现破损、重号、标识不清、标签脱落等问题，影响测定或结果填报时，请</w:t>
      </w:r>
      <w:r>
        <w:rPr>
          <w:rFonts w:hint="eastAsia" w:ascii="Times New Roman" w:hAnsi="Times New Roman" w:eastAsia="宋体" w:cs="Times New Roman"/>
          <w:kern w:val="2"/>
          <w:sz w:val="21"/>
          <w:szCs w:val="20"/>
          <w:lang w:val="en-US" w:eastAsia="zh-CN" w:bidi="ar-SA"/>
        </w:rPr>
        <w:t>及时致电广东省临床检验中心补发质控品。</w:t>
      </w:r>
    </w:p>
    <w:p w14:paraId="532392C0">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1"/>
          <w:szCs w:val="21"/>
          <w:lang w:val="en-US" w:eastAsia="zh-CN" w:bidi="ar"/>
        </w:rPr>
        <w:t xml:space="preserve">三、注意事项 </w:t>
      </w:r>
    </w:p>
    <w:p w14:paraId="3E9EE90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宋体"/>
          <w:lang w:val="en-US" w:eastAsia="zh-CN"/>
        </w:rPr>
        <w:t>1</w:t>
      </w:r>
      <w:r>
        <w:rPr>
          <w:rFonts w:hint="eastAsia" w:ascii="Times New Roman" w:hAnsi="Times New Roman" w:eastAsia="宋体" w:cs="宋体"/>
          <w:lang w:val="en-US" w:eastAsia="zh-CN"/>
        </w:rPr>
        <w:t>.</w:t>
      </w:r>
      <w:r>
        <w:rPr>
          <w:rFonts w:hint="eastAsia" w:ascii="Times New Roman" w:hAnsi="Times New Roman" w:eastAsia="宋体" w:cs="Times New Roman"/>
          <w:kern w:val="2"/>
          <w:sz w:val="21"/>
          <w:szCs w:val="20"/>
          <w:lang w:val="en-US" w:eastAsia="zh-CN" w:bidi="ar-SA"/>
        </w:rPr>
        <w:t xml:space="preserve"> 室间质评活动安排及注意事项、质评结果上报表、方法仪器试剂等编码表均可在广东省临床检验中心首页—质评资料—“2026 广东省室间质评各专业活动安排及编码下载”中查看并自行下载。 </w:t>
      </w:r>
    </w:p>
    <w:p w14:paraId="6FA6A0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lang w:val="en-US" w:eastAsia="zh-CN"/>
        </w:rPr>
        <w:t>质评结果以</w:t>
      </w:r>
      <w:r>
        <w:rPr>
          <w:rFonts w:hint="eastAsia" w:ascii="Times New Roman" w:hAnsi="Times New Roman" w:eastAsia="宋体" w:cs="宋体"/>
        </w:rPr>
        <w:t>电子方式回报</w:t>
      </w:r>
      <w:r>
        <w:rPr>
          <w:rFonts w:hint="eastAsia" w:ascii="Times New Roman" w:hAnsi="Times New Roman" w:eastAsia="宋体" w:cs="宋体"/>
          <w:lang w:eastAsia="zh-CN"/>
        </w:rPr>
        <w:t>，</w:t>
      </w:r>
      <w:r>
        <w:rPr>
          <w:rFonts w:hint="eastAsia" w:ascii="Times New Roman" w:hAnsi="Times New Roman" w:eastAsia="宋体" w:cs="宋体"/>
        </w:rPr>
        <w:t>实验室</w:t>
      </w:r>
      <w:r>
        <w:rPr>
          <w:rFonts w:hint="eastAsia" w:ascii="Times New Roman" w:hAnsi="Times New Roman" w:eastAsia="宋体" w:cs="宋体"/>
          <w:lang w:eastAsia="zh-CN"/>
        </w:rPr>
        <w:t>登录</w:t>
      </w:r>
      <w:r>
        <w:rPr>
          <w:rFonts w:hint="eastAsia" w:ascii="Times New Roman" w:hAnsi="Times New Roman" w:eastAsia="宋体" w:cs="宋体"/>
        </w:rPr>
        <w:t>路径：</w:t>
      </w:r>
    </w:p>
    <w:p w14:paraId="06B92C5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color w:val="000000"/>
          <w:lang w:eastAsia="zh-CN"/>
        </w:rPr>
        <w:t>（</w:t>
      </w:r>
      <w:r>
        <w:rPr>
          <w:rFonts w:hint="eastAsia" w:ascii="Times New Roman" w:hAnsi="Times New Roman" w:eastAsia="宋体" w:cs="宋体"/>
          <w:color w:val="000000"/>
          <w:lang w:val="en-US" w:eastAsia="zh-CN"/>
        </w:rPr>
        <w:t>1）</w:t>
      </w:r>
      <w:r>
        <w:rPr>
          <w:rFonts w:hint="eastAsia" w:ascii="Times New Roman" w:hAnsi="Times New Roman" w:eastAsia="宋体" w:cs="宋体"/>
          <w:color w:val="000000"/>
        </w:rPr>
        <w:t>http://gdccl.clinet.com.cn在</w:t>
      </w:r>
      <w:r>
        <w:rPr>
          <w:rFonts w:hint="eastAsia" w:ascii="Times New Roman" w:hAnsi="Times New Roman" w:eastAsia="宋体" w:cs="宋体"/>
          <w:kern w:val="0"/>
          <w:szCs w:val="21"/>
        </w:rPr>
        <w:t>首页</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区内相应位置填写实验室用户名和密码，点击“</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”按钮进入EQA系统。</w:t>
      </w:r>
    </w:p>
    <w:p w14:paraId="28FF18D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rPr>
        <w:t>http://www.clinet.com.cn</w:t>
      </w:r>
      <w:r>
        <w:rPr>
          <w:rFonts w:hint="eastAsia" w:ascii="Times New Roman" w:hAnsi="Times New Roman" w:eastAsia="宋体" w:cs="宋体"/>
          <w:color w:val="000000"/>
        </w:rPr>
        <w:t>在</w:t>
      </w:r>
      <w:r>
        <w:rPr>
          <w:rFonts w:hint="eastAsia" w:ascii="Times New Roman" w:hAnsi="Times New Roman" w:eastAsia="宋体" w:cs="宋体"/>
          <w:kern w:val="0"/>
          <w:szCs w:val="21"/>
        </w:rPr>
        <w:t>首页点击室间质评图标，弹出</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区后在相应位置填写实验室用户名和密码，点击“</w:t>
      </w:r>
      <w:r>
        <w:rPr>
          <w:rFonts w:hint="eastAsia" w:ascii="Times New Roman" w:hAnsi="Times New Roman" w:eastAsia="宋体" w:cs="宋体"/>
          <w:kern w:val="0"/>
          <w:szCs w:val="21"/>
          <w:lang w:eastAsia="zh-CN"/>
        </w:rPr>
        <w:t>登录</w:t>
      </w:r>
      <w:r>
        <w:rPr>
          <w:rFonts w:hint="eastAsia" w:ascii="Times New Roman" w:hAnsi="Times New Roman" w:eastAsia="宋体" w:cs="宋体"/>
          <w:kern w:val="0"/>
          <w:szCs w:val="21"/>
        </w:rPr>
        <w:t>”按钮进入EQA系统。</w:t>
      </w:r>
    </w:p>
    <w:p w14:paraId="175DC01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rPr>
      </w:pPr>
      <w:r>
        <w:rPr>
          <w:rFonts w:hint="eastAsia" w:ascii="Times New Roman" w:hAnsi="Times New Roman" w:eastAsia="宋体" w:cs="宋体"/>
        </w:rPr>
        <w:t>两种路径都可进入广东省室间质评系统回报数据，实验室可根据网络情况选用。</w:t>
      </w:r>
    </w:p>
    <w:p w14:paraId="4F3A9E14">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FF0000"/>
        </w:rPr>
      </w:pPr>
      <w:r>
        <w:rPr>
          <w:rFonts w:hint="eastAsia" w:ascii="Times New Roman" w:hAnsi="Times New Roman" w:eastAsia="宋体" w:cs="宋体"/>
          <w:lang w:val="en-US" w:eastAsia="zh-CN"/>
        </w:rPr>
        <w:t>3.</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网上填写结果和编码时，应仔细审核，没有问题后再发送，提示发送成功后，</w:t>
      </w:r>
      <w:r>
        <w:rPr>
          <w:rFonts w:hint="eastAsia" w:ascii="Times New Roman" w:hAnsi="Times New Roman" w:eastAsia="宋体" w:cs="宋体"/>
          <w:b/>
          <w:bCs/>
          <w:color w:val="FF0000"/>
          <w:kern w:val="0"/>
          <w:sz w:val="21"/>
          <w:szCs w:val="21"/>
          <w:lang w:val="en-US" w:eastAsia="zh-CN" w:bidi="ar"/>
        </w:rPr>
        <w:t>必须到已上报数据栏进行结果的确认（必须步骤）。</w:t>
      </w:r>
    </w:p>
    <w:p w14:paraId="000F4E7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imes New Roman" w:hAnsi="Times New Roman" w:eastAsia="宋体" w:cs="宋体"/>
          <w:kern w:val="0"/>
          <w:szCs w:val="21"/>
        </w:rPr>
      </w:pPr>
      <w:r>
        <w:rPr>
          <w:rFonts w:hint="eastAsia" w:ascii="Times New Roman" w:hAnsi="Times New Roman" w:eastAsia="宋体" w:cs="宋体"/>
          <w:kern w:val="0"/>
          <w:szCs w:val="21"/>
          <w:lang w:val="en-US" w:eastAsia="zh-CN"/>
        </w:rPr>
        <w:t>4.</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kern w:val="0"/>
          <w:szCs w:val="21"/>
          <w:lang w:val="en-US" w:eastAsia="zh-CN"/>
        </w:rPr>
        <w:t>质评统计结果反馈，</w:t>
      </w:r>
      <w:r>
        <w:rPr>
          <w:rFonts w:hint="eastAsia" w:ascii="Times New Roman" w:hAnsi="Times New Roman" w:eastAsia="宋体" w:cs="宋体"/>
          <w:kern w:val="0"/>
          <w:szCs w:val="21"/>
        </w:rPr>
        <w:t>本年度的质评统计结果及年度质评证书以电子方式从网上反馈给实验室，不再打印纸质的统计结果表及汇总成绩表。</w:t>
      </w:r>
    </w:p>
    <w:p w14:paraId="69898414">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rPr>
      </w:pPr>
      <w:r>
        <w:rPr>
          <w:rFonts w:hint="eastAsia" w:ascii="Times New Roman" w:hAnsi="Times New Roman" w:eastAsia="宋体" w:cs="宋体"/>
          <w:color w:val="000000"/>
          <w:kern w:val="0"/>
          <w:sz w:val="21"/>
          <w:szCs w:val="21"/>
          <w:lang w:val="en-US" w:eastAsia="zh-CN" w:bidi="ar"/>
        </w:rPr>
        <w:t>5.</w:t>
      </w:r>
      <w:r>
        <w:rPr>
          <w:rFonts w:hint="eastAsia" w:ascii="Times New Roman" w:hAnsi="Times New Roman" w:eastAsia="宋体" w:cs="Times New Roman"/>
          <w:kern w:val="2"/>
          <w:sz w:val="21"/>
          <w:szCs w:val="20"/>
          <w:lang w:val="en-US" w:eastAsia="zh-CN" w:bidi="ar-SA"/>
        </w:rPr>
        <w:t xml:space="preserve"> </w:t>
      </w:r>
      <w:r>
        <w:rPr>
          <w:rFonts w:hint="eastAsia" w:ascii="Times New Roman" w:hAnsi="Times New Roman" w:eastAsia="宋体" w:cs="宋体"/>
          <w:color w:val="000000"/>
          <w:kern w:val="0"/>
          <w:sz w:val="21"/>
          <w:szCs w:val="21"/>
          <w:lang w:val="en-US" w:eastAsia="zh-CN" w:bidi="ar"/>
        </w:rPr>
        <w:t>室间质评活动中的专业问题可与分子免疫组联系：</w:t>
      </w:r>
    </w:p>
    <w:p w14:paraId="2D8FE7EA">
      <w:pPr>
        <w:keepNext w:val="0"/>
        <w:keepLines w:val="0"/>
        <w:pageBreakBefore w:val="0"/>
        <w:numPr>
          <w:ilvl w:val="0"/>
          <w:numId w:val="0"/>
        </w:numPr>
        <w:kinsoku/>
        <w:wordWrap/>
        <w:overflowPunct/>
        <w:topLinePunct w:val="0"/>
        <w:autoSpaceDE/>
        <w:autoSpaceDN/>
        <w:bidi w:val="0"/>
        <w:adjustRightInd/>
        <w:snapToGrid w:val="0"/>
        <w:spacing w:line="360" w:lineRule="auto"/>
        <w:ind w:firstLine="630" w:firstLineChars="300"/>
        <w:jc w:val="both"/>
        <w:textAlignment w:val="auto"/>
        <w:rPr>
          <w:rFonts w:hint="eastAsia" w:ascii="Times New Roman" w:hAnsi="Times New Roman" w:eastAsia="宋体" w:cs="宋体"/>
        </w:rPr>
      </w:pPr>
      <w:r>
        <w:rPr>
          <w:rFonts w:hint="eastAsia" w:ascii="Times New Roman" w:hAnsi="Times New Roman" w:eastAsia="宋体" w:cs="宋体"/>
          <w:b w:val="0"/>
          <w:bCs w:val="0"/>
          <w:kern w:val="0"/>
          <w:sz w:val="21"/>
          <w:szCs w:val="21"/>
          <w:lang w:val="en-US" w:eastAsia="zh-CN" w:bidi="ar-SA"/>
        </w:rPr>
        <w:t>电话：020-81881055，81922518。联系人：陈老师。</w:t>
      </w:r>
    </w:p>
    <w:p w14:paraId="51BC4E1D">
      <w:pPr>
        <w:keepNext w:val="0"/>
        <w:keepLines w:val="0"/>
        <w:pageBreakBefore w:val="0"/>
        <w:kinsoku/>
        <w:wordWrap/>
        <w:overflowPunct/>
        <w:topLinePunct w:val="0"/>
        <w:autoSpaceDE/>
        <w:autoSpaceDN/>
        <w:bidi w:val="0"/>
        <w:adjustRightInd/>
        <w:spacing w:line="336" w:lineRule="auto"/>
        <w:textAlignment w:val="auto"/>
        <w:rPr>
          <w:rFonts w:hint="default" w:ascii="Times New Roman" w:hAnsi="Times New Roman" w:eastAsia="宋体" w:cs="Times New Roman"/>
        </w:rPr>
      </w:pPr>
      <w:bookmarkStart w:id="0" w:name="_GoBack"/>
      <w:bookmarkEnd w:id="0"/>
    </w:p>
    <w:sectPr>
      <w:pgSz w:w="11906" w:h="16838"/>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84BAF"/>
    <w:multiLevelType w:val="singleLevel"/>
    <w:tmpl w:val="3A284BAF"/>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UzYjBhMGMxOWRlNjhjYTRlNjE0YjA0ZmQ5MTkzZDYifQ=="/>
  </w:docVars>
  <w:rsids>
    <w:rsidRoot w:val="00DE020D"/>
    <w:rsid w:val="000073D2"/>
    <w:rsid w:val="00011799"/>
    <w:rsid w:val="000206E3"/>
    <w:rsid w:val="00025B1C"/>
    <w:rsid w:val="000761DE"/>
    <w:rsid w:val="00104EFC"/>
    <w:rsid w:val="001545D9"/>
    <w:rsid w:val="00173C29"/>
    <w:rsid w:val="001E76AE"/>
    <w:rsid w:val="002F65CA"/>
    <w:rsid w:val="00303644"/>
    <w:rsid w:val="003F5C3D"/>
    <w:rsid w:val="004910EA"/>
    <w:rsid w:val="00593D4B"/>
    <w:rsid w:val="005966DD"/>
    <w:rsid w:val="005F229F"/>
    <w:rsid w:val="006346C1"/>
    <w:rsid w:val="006C0ABD"/>
    <w:rsid w:val="006C28F4"/>
    <w:rsid w:val="007031FD"/>
    <w:rsid w:val="00747489"/>
    <w:rsid w:val="007C24B2"/>
    <w:rsid w:val="00846168"/>
    <w:rsid w:val="008F1356"/>
    <w:rsid w:val="00934DC3"/>
    <w:rsid w:val="00A24ADA"/>
    <w:rsid w:val="00A63B91"/>
    <w:rsid w:val="00A90ACC"/>
    <w:rsid w:val="00AE6777"/>
    <w:rsid w:val="00C06CFD"/>
    <w:rsid w:val="00CF4903"/>
    <w:rsid w:val="00D137C2"/>
    <w:rsid w:val="00D161C5"/>
    <w:rsid w:val="00D94B27"/>
    <w:rsid w:val="00DE020D"/>
    <w:rsid w:val="00E40BD6"/>
    <w:rsid w:val="00E642C3"/>
    <w:rsid w:val="00EB4064"/>
    <w:rsid w:val="00F069AA"/>
    <w:rsid w:val="00F1764B"/>
    <w:rsid w:val="00FB7E46"/>
    <w:rsid w:val="00FD5905"/>
    <w:rsid w:val="00FF0E5B"/>
    <w:rsid w:val="1C581AA9"/>
    <w:rsid w:val="1E360515"/>
    <w:rsid w:val="375C473E"/>
    <w:rsid w:val="518D7BF1"/>
    <w:rsid w:val="55757180"/>
    <w:rsid w:val="567A6BD6"/>
    <w:rsid w:val="6FE97F76"/>
    <w:rsid w:val="73B77EA9"/>
    <w:rsid w:val="7C2D3E7B"/>
    <w:rsid w:val="7C52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Number"/>
    <w:basedOn w:val="3"/>
    <w:semiHidden/>
    <w:unhideWhenUsed/>
    <w:qFormat/>
    <w:uiPriority w:val="99"/>
    <w:pPr>
      <w:numPr>
        <w:ilvl w:val="0"/>
        <w:numId w:val="1"/>
      </w:numPr>
    </w:pPr>
  </w:style>
  <w:style w:type="paragraph" w:styleId="3">
    <w:name w:val="List"/>
    <w:basedOn w:val="1"/>
    <w:semiHidden/>
    <w:unhideWhenUsed/>
    <w:qFormat/>
    <w:uiPriority w:val="99"/>
    <w:pPr>
      <w:ind w:left="200" w:hanging="200" w:hangingChars="200"/>
      <w:contextualSpacing/>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1195</Words>
  <Characters>1608</Characters>
  <Lines>4</Lines>
  <Paragraphs>1</Paragraphs>
  <TotalTime>0</TotalTime>
  <ScaleCrop>false</ScaleCrop>
  <LinksUpToDate>false</LinksUpToDate>
  <CharactersWithSpaces>1695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2016-12-28T06:47:00Z</dcterms:created>
  <dc:creator>lenovo</dc:creator>
  <cp:lastModifiedBy>广东省临床检验中心</cp:lastModifiedBy>
  <dcterms:modified xsi:type="dcterms:W3CDTF">2026-02-27T09:12:42Z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A61682440AD4496CA733EC97A0B6BB6D_12</vt:lpwstr>
  </property>
  <property fmtid="{D5CDD505-2E9C-101B-9397-08002B2CF9AE}" pid="4" name="KSOTemplateDocerSaveRecord">
    <vt:lpwstr>eyJoZGlkIjoiZjMzYTEzNjA0MmM0YTIxM2FkZDdlMDU3NzI2MzQ0YzEiLCJ1c2VySWQiOiIzNjA0OTEwOTAifQ==</vt:lpwstr>
  </property>
</Properties>
</file>