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3A04F5">
      <w:pPr>
        <w:snapToGrid w:val="0"/>
        <w:spacing w:line="276" w:lineRule="auto"/>
        <w:jc w:val="center"/>
        <w:rPr>
          <w:rFonts w:hint="default" w:eastAsia="宋体"/>
          <w:b/>
          <w:bCs w:val="0"/>
          <w:sz w:val="32"/>
          <w:szCs w:val="32"/>
          <w:lang w:val="en-US" w:eastAsia="zh-CN"/>
        </w:rPr>
      </w:pPr>
      <w:bookmarkStart w:id="0" w:name="_Toc252799986"/>
      <w:bookmarkStart w:id="1" w:name="_Toc254957913"/>
      <w:r>
        <w:rPr>
          <w:rFonts w:hint="eastAsia"/>
          <w:b/>
          <w:bCs w:val="0"/>
          <w:sz w:val="32"/>
          <w:szCs w:val="32"/>
          <w:lang w:val="en-US" w:eastAsia="zh-CN"/>
        </w:rPr>
        <w:t>广东省临床检验中心</w:t>
      </w:r>
    </w:p>
    <w:p w14:paraId="71052F06">
      <w:pPr>
        <w:snapToGrid w:val="0"/>
        <w:spacing w:line="276" w:lineRule="auto"/>
        <w:jc w:val="center"/>
        <w:rPr>
          <w:b/>
          <w:bCs w:val="0"/>
          <w:sz w:val="32"/>
          <w:szCs w:val="32"/>
        </w:rPr>
      </w:pPr>
      <w:r>
        <w:rPr>
          <w:rFonts w:hint="eastAsia"/>
          <w:b/>
          <w:bCs w:val="0"/>
          <w:sz w:val="32"/>
          <w:szCs w:val="32"/>
        </w:rPr>
        <w:t>202</w:t>
      </w:r>
      <w:r>
        <w:rPr>
          <w:rFonts w:hint="eastAsia"/>
          <w:b/>
          <w:bCs w:val="0"/>
          <w:sz w:val="32"/>
          <w:szCs w:val="32"/>
          <w:lang w:val="en-US" w:eastAsia="zh-CN"/>
        </w:rPr>
        <w:t>6</w:t>
      </w:r>
      <w:r>
        <w:rPr>
          <w:rFonts w:hint="eastAsia"/>
          <w:b/>
          <w:bCs w:val="0"/>
          <w:sz w:val="32"/>
          <w:szCs w:val="32"/>
        </w:rPr>
        <w:t>年广东省</w:t>
      </w:r>
      <w:r>
        <w:rPr>
          <w:rFonts w:hint="eastAsia"/>
          <w:b/>
          <w:bCs w:val="0"/>
          <w:sz w:val="32"/>
          <w:szCs w:val="32"/>
          <w:lang w:val="en-US" w:eastAsia="zh-CN"/>
        </w:rPr>
        <w:t>甲型、乙型流感病毒核酸检测</w:t>
      </w:r>
      <w:r>
        <w:rPr>
          <w:b/>
          <w:bCs w:val="0"/>
          <w:sz w:val="32"/>
          <w:szCs w:val="32"/>
        </w:rPr>
        <w:t>室间质量评价</w:t>
      </w:r>
    </w:p>
    <w:p w14:paraId="7819B6E9">
      <w:pPr>
        <w:snapToGrid w:val="0"/>
        <w:spacing w:line="276" w:lineRule="auto"/>
        <w:jc w:val="center"/>
        <w:rPr>
          <w:b/>
          <w:bCs w:val="0"/>
          <w:sz w:val="32"/>
          <w:szCs w:val="32"/>
        </w:rPr>
      </w:pPr>
      <w:r>
        <w:rPr>
          <w:b/>
          <w:bCs w:val="0"/>
          <w:sz w:val="32"/>
          <w:szCs w:val="32"/>
        </w:rPr>
        <w:t>活动安排及注意事项</w:t>
      </w:r>
      <w:bookmarkEnd w:id="0"/>
      <w:bookmarkEnd w:id="1"/>
    </w:p>
    <w:p w14:paraId="1E36E8D0">
      <w:pPr>
        <w:snapToGrid w:val="0"/>
        <w:spacing w:line="276" w:lineRule="auto"/>
        <w:jc w:val="center"/>
        <w:rPr>
          <w:rFonts w:hint="eastAsia" w:ascii="宋体" w:hAnsi="宋体" w:eastAsia="宋体" w:cs="宋体"/>
          <w:b/>
          <w:bCs/>
          <w:kern w:val="0"/>
          <w:sz w:val="21"/>
          <w:szCs w:val="21"/>
          <w:lang w:val="en-US" w:eastAsia="zh-CN" w:bidi="ar-SA"/>
        </w:rPr>
      </w:pPr>
    </w:p>
    <w:p w14:paraId="31FFF87B">
      <w:pPr>
        <w:pStyle w:val="12"/>
        <w:keepNext w:val="0"/>
        <w:keepLines w:val="0"/>
        <w:pageBreakBefore w:val="0"/>
        <w:numPr>
          <w:ilvl w:val="0"/>
          <w:numId w:val="0"/>
        </w:numPr>
        <w:kinsoku/>
        <w:wordWrap/>
        <w:overflowPunct/>
        <w:topLinePunct w:val="0"/>
        <w:autoSpaceDE/>
        <w:autoSpaceDN/>
        <w:bidi w:val="0"/>
        <w:adjustRightInd/>
        <w:snapToGrid w:val="0"/>
        <w:spacing w:line="360" w:lineRule="auto"/>
        <w:textAlignment w:val="auto"/>
        <w:rPr>
          <w:rFonts w:hint="eastAsia" w:ascii="宋体" w:hAnsi="宋体" w:cs="宋体"/>
          <w:b/>
          <w:bCs/>
          <w:kern w:val="0"/>
          <w:sz w:val="21"/>
          <w:szCs w:val="21"/>
          <w:lang w:val="en-US" w:eastAsia="zh-CN" w:bidi="ar-SA"/>
        </w:rPr>
      </w:pPr>
      <w:r>
        <w:rPr>
          <w:rFonts w:hint="eastAsia" w:ascii="宋体" w:hAnsi="宋体" w:cs="宋体"/>
          <w:b/>
          <w:bCs/>
          <w:kern w:val="0"/>
          <w:sz w:val="21"/>
          <w:szCs w:val="21"/>
          <w:lang w:val="en-US" w:eastAsia="zh-CN" w:bidi="ar-SA"/>
        </w:rPr>
        <w:t>一、评价项目与时间表</w:t>
      </w:r>
    </w:p>
    <w:p w14:paraId="7DF4DAD4">
      <w:pPr>
        <w:pStyle w:val="3"/>
        <w:keepNext w:val="0"/>
        <w:keepLines w:val="0"/>
        <w:pageBreakBefore w:val="0"/>
        <w:widowControl/>
        <w:numPr>
          <w:ilvl w:val="0"/>
          <w:numId w:val="0"/>
        </w:numPr>
        <w:kinsoku/>
        <w:wordWrap/>
        <w:overflowPunct/>
        <w:topLinePunct w:val="0"/>
        <w:autoSpaceDE/>
        <w:autoSpaceDN/>
        <w:bidi w:val="0"/>
        <w:adjustRightInd/>
        <w:snapToGrid/>
        <w:spacing w:after="0" w:line="360" w:lineRule="auto"/>
        <w:ind w:right="0" w:rightChars="0" w:firstLine="420" w:firstLineChars="200"/>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202</w:t>
      </w:r>
      <w:r>
        <w:rPr>
          <w:rFonts w:hint="eastAsia" w:ascii="宋体" w:hAnsi="宋体" w:cs="宋体"/>
          <w:kern w:val="0"/>
          <w:sz w:val="21"/>
          <w:szCs w:val="21"/>
          <w:lang w:val="en-US" w:eastAsia="zh-CN" w:bidi="ar-SA"/>
        </w:rPr>
        <w:t>6</w:t>
      </w:r>
      <w:r>
        <w:rPr>
          <w:rFonts w:hint="eastAsia" w:ascii="宋体" w:hAnsi="宋体" w:eastAsia="宋体" w:cs="宋体"/>
          <w:kern w:val="0"/>
          <w:sz w:val="21"/>
          <w:szCs w:val="21"/>
          <w:lang w:val="en-US" w:eastAsia="zh-CN" w:bidi="ar-SA"/>
        </w:rPr>
        <w:t>年广东省甲型、乙型流感病毒核酸检测室间质评。全年质评活动进行一次。</w:t>
      </w:r>
    </w:p>
    <w:p w14:paraId="1CBFE0B9">
      <w:pPr>
        <w:pStyle w:val="3"/>
        <w:keepNext w:val="0"/>
        <w:keepLines w:val="0"/>
        <w:pageBreakBefore w:val="0"/>
        <w:widowControl/>
        <w:numPr>
          <w:ilvl w:val="0"/>
          <w:numId w:val="0"/>
        </w:numPr>
        <w:kinsoku/>
        <w:wordWrap/>
        <w:overflowPunct/>
        <w:topLinePunct w:val="0"/>
        <w:autoSpaceDE/>
        <w:autoSpaceDN/>
        <w:bidi w:val="0"/>
        <w:adjustRightInd/>
        <w:snapToGrid/>
        <w:spacing w:after="0" w:line="360" w:lineRule="auto"/>
        <w:ind w:right="0" w:rightChars="0" w:firstLine="420" w:firstLineChars="200"/>
        <w:textAlignment w:val="auto"/>
        <w:rPr>
          <w:rFonts w:hint="eastAsia" w:ascii="宋体" w:hAnsi="宋体" w:cs="宋体"/>
          <w:sz w:val="21"/>
          <w:szCs w:val="21"/>
          <w:lang w:val="en-US" w:eastAsia="zh-CN"/>
        </w:rPr>
      </w:pPr>
      <w:r>
        <w:rPr>
          <w:rFonts w:hint="eastAsia" w:ascii="宋体" w:hAnsi="宋体" w:eastAsia="宋体" w:cs="宋体"/>
          <w:kern w:val="0"/>
          <w:sz w:val="21"/>
          <w:szCs w:val="21"/>
          <w:lang w:val="en-US" w:eastAsia="zh-CN" w:bidi="ar-SA"/>
        </w:rPr>
        <w:t>全年一次寄出，安排如下：每次分析5个样本。</w:t>
      </w:r>
      <w:r>
        <w:rPr>
          <w:rFonts w:hint="eastAsia" w:ascii="宋体" w:hAnsi="宋体" w:cs="宋体"/>
          <w:sz w:val="21"/>
          <w:szCs w:val="21"/>
          <w:lang w:val="en-US" w:eastAsia="zh-CN"/>
        </w:rPr>
        <w:t>安排如下：</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0"/>
        <w:gridCol w:w="2316"/>
        <w:gridCol w:w="1109"/>
        <w:gridCol w:w="1109"/>
        <w:gridCol w:w="1214"/>
      </w:tblGrid>
      <w:tr w14:paraId="41D18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0" w:type="auto"/>
            <w:vAlign w:val="center"/>
          </w:tcPr>
          <w:p w14:paraId="26E0F7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rPr>
            </w:pPr>
            <w:r>
              <w:rPr>
                <w:rFonts w:hint="eastAsia" w:ascii="宋体" w:hAnsi="宋体" w:eastAsia="宋体" w:cs="宋体"/>
                <w:b/>
                <w:bCs/>
              </w:rPr>
              <w:t>活动次数</w:t>
            </w:r>
          </w:p>
        </w:tc>
        <w:tc>
          <w:tcPr>
            <w:tcW w:w="0" w:type="auto"/>
            <w:vAlign w:val="center"/>
          </w:tcPr>
          <w:p w14:paraId="0C9CC1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kern w:val="0"/>
                <w:szCs w:val="21"/>
                <w:lang w:val="en-US" w:eastAsia="zh-CN"/>
              </w:rPr>
            </w:pPr>
            <w:r>
              <w:rPr>
                <w:rFonts w:hint="eastAsia" w:ascii="宋体" w:hAnsi="宋体" w:eastAsia="宋体" w:cs="宋体"/>
                <w:b/>
                <w:bCs/>
                <w:kern w:val="0"/>
                <w:szCs w:val="21"/>
                <w:lang w:val="en-US" w:eastAsia="zh-CN"/>
              </w:rPr>
              <w:t>批号</w:t>
            </w:r>
          </w:p>
        </w:tc>
        <w:tc>
          <w:tcPr>
            <w:tcW w:w="0" w:type="auto"/>
          </w:tcPr>
          <w:p w14:paraId="1B8ADA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kern w:val="0"/>
                <w:szCs w:val="21"/>
              </w:rPr>
            </w:pPr>
            <w:r>
              <w:rPr>
                <w:rFonts w:hint="eastAsia" w:ascii="宋体" w:hAnsi="宋体" w:eastAsia="宋体" w:cs="宋体"/>
                <w:b/>
                <w:bCs/>
                <w:kern w:val="0"/>
                <w:szCs w:val="21"/>
                <w:lang w:val="en-US" w:eastAsia="zh-CN"/>
              </w:rPr>
              <w:t>样本</w:t>
            </w:r>
            <w:r>
              <w:rPr>
                <w:rFonts w:hint="eastAsia" w:ascii="宋体" w:hAnsi="宋体" w:eastAsia="宋体" w:cs="宋体"/>
                <w:b/>
                <w:bCs/>
                <w:kern w:val="0"/>
                <w:szCs w:val="21"/>
              </w:rPr>
              <w:t>建议</w:t>
            </w:r>
          </w:p>
          <w:p w14:paraId="42EAF8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rPr>
            </w:pPr>
            <w:r>
              <w:rPr>
                <w:rFonts w:hint="eastAsia" w:ascii="宋体" w:hAnsi="宋体" w:eastAsia="宋体" w:cs="宋体"/>
                <w:b/>
                <w:bCs/>
                <w:kern w:val="0"/>
                <w:szCs w:val="21"/>
              </w:rPr>
              <w:t>测定日期</w:t>
            </w:r>
          </w:p>
        </w:tc>
        <w:tc>
          <w:tcPr>
            <w:tcW w:w="0" w:type="auto"/>
          </w:tcPr>
          <w:p w14:paraId="436043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kern w:val="0"/>
                <w:szCs w:val="21"/>
                <w:lang w:val="en-US" w:eastAsia="zh-CN"/>
              </w:rPr>
            </w:pPr>
            <w:r>
              <w:rPr>
                <w:rFonts w:hint="eastAsia" w:ascii="宋体" w:hAnsi="宋体" w:eastAsia="宋体" w:cs="宋体"/>
                <w:b/>
                <w:bCs/>
                <w:kern w:val="0"/>
                <w:szCs w:val="21"/>
              </w:rPr>
              <w:t>结果</w:t>
            </w:r>
            <w:r>
              <w:rPr>
                <w:rFonts w:hint="eastAsia" w:ascii="宋体" w:hAnsi="宋体" w:eastAsia="宋体" w:cs="宋体"/>
                <w:b/>
                <w:bCs/>
                <w:kern w:val="0"/>
                <w:szCs w:val="21"/>
                <w:lang w:val="en-US" w:eastAsia="zh-CN"/>
              </w:rPr>
              <w:t>上报</w:t>
            </w:r>
          </w:p>
          <w:p w14:paraId="490BD2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rPr>
            </w:pPr>
            <w:r>
              <w:rPr>
                <w:rFonts w:hint="eastAsia" w:ascii="宋体" w:hAnsi="宋体" w:eastAsia="宋体" w:cs="宋体"/>
                <w:b/>
                <w:bCs/>
                <w:kern w:val="0"/>
                <w:szCs w:val="21"/>
              </w:rPr>
              <w:t>截止日期</w:t>
            </w:r>
          </w:p>
        </w:tc>
        <w:tc>
          <w:tcPr>
            <w:tcW w:w="0" w:type="auto"/>
          </w:tcPr>
          <w:p w14:paraId="07E785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kern w:val="0"/>
                <w:szCs w:val="21"/>
                <w:lang w:val="en-US" w:eastAsia="zh-CN"/>
              </w:rPr>
            </w:pPr>
            <w:r>
              <w:rPr>
                <w:rFonts w:hint="eastAsia" w:ascii="宋体" w:hAnsi="宋体" w:eastAsia="宋体" w:cs="宋体"/>
                <w:b/>
                <w:bCs/>
                <w:kern w:val="0"/>
                <w:szCs w:val="21"/>
                <w:lang w:val="en-US" w:eastAsia="zh-CN"/>
              </w:rPr>
              <w:t>质评成绩</w:t>
            </w:r>
          </w:p>
          <w:p w14:paraId="2A8A90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bCs/>
                <w:lang w:val="en-US" w:eastAsia="zh-CN"/>
              </w:rPr>
            </w:pPr>
            <w:r>
              <w:rPr>
                <w:rFonts w:hint="eastAsia" w:ascii="宋体" w:hAnsi="宋体" w:eastAsia="宋体" w:cs="宋体"/>
                <w:b/>
                <w:bCs/>
                <w:kern w:val="0"/>
                <w:szCs w:val="21"/>
                <w:lang w:val="en-US" w:eastAsia="zh-CN"/>
              </w:rPr>
              <w:t>下发日期</w:t>
            </w:r>
          </w:p>
        </w:tc>
      </w:tr>
      <w:tr w14:paraId="23B73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0" w:type="auto"/>
            <w:vAlign w:val="center"/>
          </w:tcPr>
          <w:p w14:paraId="6F28BF84">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hAnsi="宋体" w:eastAsia="宋体" w:cs="宋体"/>
                <w:lang w:val="en-US" w:eastAsia="zh-CN"/>
              </w:rPr>
            </w:pPr>
            <w:r>
              <w:rPr>
                <w:rFonts w:hint="eastAsia" w:ascii="宋体" w:hAnsi="宋体" w:cs="宋体"/>
                <w:lang w:val="en-US" w:eastAsia="zh-CN"/>
              </w:rPr>
              <w:t>全年一次</w:t>
            </w:r>
          </w:p>
        </w:tc>
        <w:tc>
          <w:tcPr>
            <w:tcW w:w="0" w:type="auto"/>
            <w:vAlign w:val="top"/>
          </w:tcPr>
          <w:p w14:paraId="6AF4EED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vertAlign w:val="baseline"/>
                <w:lang w:val="en-US" w:eastAsia="zh-CN" w:bidi="ar"/>
              </w:rPr>
            </w:pPr>
            <w:r>
              <w:rPr>
                <w:rFonts w:hint="eastAsia" w:ascii="宋体" w:hAnsi="宋体" w:eastAsia="宋体" w:cs="宋体"/>
                <w:color w:val="000000"/>
                <w:kern w:val="0"/>
                <w:sz w:val="21"/>
                <w:szCs w:val="21"/>
                <w:vertAlign w:val="baseline"/>
                <w:lang w:val="en-US" w:eastAsia="zh-CN" w:bidi="ar"/>
              </w:rPr>
              <w:t>202611,202612,</w:t>
            </w:r>
          </w:p>
          <w:p w14:paraId="7E688942">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rPr>
            </w:pPr>
            <w:r>
              <w:rPr>
                <w:rFonts w:hint="eastAsia" w:ascii="宋体" w:hAnsi="宋体" w:eastAsia="宋体" w:cs="宋体"/>
                <w:color w:val="000000"/>
                <w:kern w:val="0"/>
                <w:sz w:val="21"/>
                <w:szCs w:val="21"/>
                <w:vertAlign w:val="baseline"/>
                <w:lang w:val="en-US" w:eastAsia="zh-CN" w:bidi="ar"/>
              </w:rPr>
              <w:t>202613,202614,202615</w:t>
            </w:r>
          </w:p>
        </w:tc>
        <w:tc>
          <w:tcPr>
            <w:tcW w:w="1109" w:type="dxa"/>
            <w:vAlign w:val="center"/>
          </w:tcPr>
          <w:p w14:paraId="4BCD72A1">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2"/>
                <w:lang w:val="en-US" w:eastAsia="zh-CN" w:bidi="ar-SA"/>
              </w:rPr>
            </w:pPr>
            <w:r>
              <w:rPr>
                <w:rFonts w:hint="eastAsia" w:ascii="宋体" w:hAnsi="宋体" w:eastAsia="宋体" w:cs="宋体"/>
                <w:lang w:val="en-US" w:eastAsia="zh-CN"/>
              </w:rPr>
              <w:t>9</w:t>
            </w:r>
            <w:r>
              <w:rPr>
                <w:rFonts w:hint="eastAsia" w:ascii="宋体" w:hAnsi="宋体" w:eastAsia="宋体" w:cs="宋体"/>
              </w:rPr>
              <w:t>月</w:t>
            </w:r>
            <w:r>
              <w:rPr>
                <w:rFonts w:hint="eastAsia" w:ascii="宋体" w:hAnsi="宋体" w:eastAsia="宋体" w:cs="宋体"/>
                <w:lang w:val="en-US" w:eastAsia="zh-CN"/>
              </w:rPr>
              <w:t>16</w:t>
            </w:r>
            <w:r>
              <w:rPr>
                <w:rFonts w:hint="eastAsia" w:ascii="宋体" w:hAnsi="宋体" w:eastAsia="宋体" w:cs="宋体"/>
              </w:rPr>
              <w:t>日</w:t>
            </w:r>
          </w:p>
        </w:tc>
        <w:tc>
          <w:tcPr>
            <w:tcW w:w="1109" w:type="dxa"/>
            <w:vAlign w:val="center"/>
          </w:tcPr>
          <w:p w14:paraId="2439AB54">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2"/>
                <w:lang w:val="en-US" w:eastAsia="zh-CN" w:bidi="ar-SA"/>
              </w:rPr>
            </w:pPr>
            <w:r>
              <w:rPr>
                <w:rFonts w:hint="eastAsia" w:ascii="宋体" w:hAnsi="宋体" w:eastAsia="宋体" w:cs="宋体"/>
                <w:lang w:val="en-US" w:eastAsia="zh-CN"/>
              </w:rPr>
              <w:t>9</w:t>
            </w:r>
            <w:r>
              <w:rPr>
                <w:rFonts w:hint="eastAsia" w:ascii="宋体" w:hAnsi="宋体" w:eastAsia="宋体" w:cs="宋体"/>
              </w:rPr>
              <w:t>月</w:t>
            </w:r>
            <w:r>
              <w:rPr>
                <w:rFonts w:hint="eastAsia" w:ascii="宋体" w:hAnsi="宋体" w:eastAsia="宋体" w:cs="宋体"/>
                <w:lang w:val="en-US" w:eastAsia="zh-CN"/>
              </w:rPr>
              <w:t>30</w:t>
            </w:r>
            <w:r>
              <w:rPr>
                <w:rFonts w:hint="eastAsia" w:ascii="宋体" w:hAnsi="宋体" w:eastAsia="宋体" w:cs="宋体"/>
              </w:rPr>
              <w:t>日</w:t>
            </w:r>
          </w:p>
        </w:tc>
        <w:tc>
          <w:tcPr>
            <w:tcW w:w="1214" w:type="dxa"/>
            <w:vAlign w:val="center"/>
          </w:tcPr>
          <w:p w14:paraId="39782A58">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2"/>
                <w:lang w:val="en-US" w:eastAsia="zh-CN" w:bidi="ar-SA"/>
              </w:rPr>
            </w:pPr>
            <w:r>
              <w:rPr>
                <w:rFonts w:hint="eastAsia" w:ascii="宋体" w:hAnsi="宋体" w:eastAsia="宋体" w:cs="宋体"/>
                <w:lang w:val="en-US" w:eastAsia="zh-CN"/>
              </w:rPr>
              <w:t>10</w:t>
            </w:r>
            <w:r>
              <w:rPr>
                <w:rFonts w:hint="eastAsia" w:ascii="宋体" w:hAnsi="宋体" w:eastAsia="宋体" w:cs="宋体"/>
              </w:rPr>
              <w:t>月</w:t>
            </w:r>
            <w:r>
              <w:rPr>
                <w:rFonts w:hint="eastAsia" w:ascii="宋体" w:hAnsi="宋体" w:eastAsia="宋体" w:cs="宋体"/>
                <w:lang w:val="en-US" w:eastAsia="zh-CN"/>
              </w:rPr>
              <w:t>31</w:t>
            </w:r>
            <w:r>
              <w:rPr>
                <w:rFonts w:hint="eastAsia" w:ascii="宋体" w:hAnsi="宋体" w:eastAsia="宋体" w:cs="宋体"/>
              </w:rPr>
              <w:t>日</w:t>
            </w:r>
          </w:p>
        </w:tc>
      </w:tr>
    </w:tbl>
    <w:p w14:paraId="040316F8">
      <w:pPr>
        <w:keepNext w:val="0"/>
        <w:keepLines w:val="0"/>
        <w:widowControl/>
        <w:suppressLineNumbers w:val="0"/>
        <w:jc w:val="left"/>
        <w:rPr>
          <w:rFonts w:hint="eastAsia"/>
          <w:lang w:val="en-US" w:eastAsia="zh-CN"/>
        </w:rPr>
      </w:pPr>
      <w:r>
        <w:rPr>
          <w:rFonts w:hint="eastAsia" w:ascii="宋体" w:hAnsi="宋体" w:eastAsia="宋体" w:cs="宋体"/>
          <w:b/>
          <w:bCs/>
          <w:color w:val="000000"/>
          <w:kern w:val="0"/>
          <w:sz w:val="21"/>
          <w:szCs w:val="21"/>
          <w:lang w:val="en-US" w:eastAsia="zh-CN" w:bidi="ar"/>
        </w:rPr>
        <w:t xml:space="preserve">二、样本处理方法 </w:t>
      </w:r>
    </w:p>
    <w:p w14:paraId="3CF5DBC9">
      <w:pPr>
        <w:pStyle w:val="12"/>
        <w:keepNext w:val="0"/>
        <w:keepLines w:val="0"/>
        <w:pageBreakBefore w:val="0"/>
        <w:numPr>
          <w:ilvl w:val="0"/>
          <w:numId w:val="0"/>
        </w:numPr>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b w:val="0"/>
          <w:bCs w:val="0"/>
          <w:kern w:val="0"/>
          <w:sz w:val="21"/>
          <w:szCs w:val="21"/>
          <w:lang w:val="en-US" w:eastAsia="zh-CN" w:bidi="ar-SA"/>
        </w:rPr>
      </w:pPr>
      <w:r>
        <w:rPr>
          <w:rFonts w:hint="eastAsia" w:ascii="宋体" w:hAnsi="宋体" w:cs="宋体"/>
          <w:kern w:val="0"/>
          <w:sz w:val="21"/>
          <w:szCs w:val="21"/>
          <w:lang w:val="en-US" w:eastAsia="zh-CN" w:bidi="ar-SA"/>
        </w:rPr>
        <w:t>1、</w:t>
      </w:r>
      <w:r>
        <w:rPr>
          <w:rFonts w:hint="eastAsia"/>
        </w:rPr>
        <w:t>样本保存：</w:t>
      </w:r>
      <w:r>
        <w:rPr>
          <w:rFonts w:hint="eastAsia" w:ascii="宋体" w:hAnsi="宋体" w:eastAsia="宋体" w:cs="宋体"/>
          <w:b w:val="0"/>
          <w:bCs w:val="0"/>
          <w:kern w:val="0"/>
          <w:sz w:val="21"/>
          <w:szCs w:val="21"/>
          <w:lang w:val="en-US" w:eastAsia="zh-CN" w:bidi="ar-SA"/>
        </w:rPr>
        <w:t>收到样本后，应立即检查名称、批号、数量是否与实验安排相符，检查</w:t>
      </w:r>
      <w:r>
        <w:rPr>
          <w:rFonts w:hint="eastAsia" w:ascii="宋体" w:hAnsi="宋体" w:cs="宋体"/>
          <w:b w:val="0"/>
          <w:bCs w:val="0"/>
          <w:kern w:val="0"/>
          <w:sz w:val="21"/>
          <w:szCs w:val="21"/>
          <w:lang w:val="en-US" w:eastAsia="zh-CN" w:bidi="ar-SA"/>
        </w:rPr>
        <w:t>样本</w:t>
      </w:r>
      <w:r>
        <w:rPr>
          <w:rFonts w:hint="eastAsia" w:ascii="宋体" w:hAnsi="宋体" w:eastAsia="宋体" w:cs="宋体"/>
          <w:b w:val="0"/>
          <w:bCs w:val="0"/>
          <w:kern w:val="0"/>
          <w:sz w:val="21"/>
          <w:szCs w:val="21"/>
          <w:lang w:val="en-US" w:eastAsia="zh-CN" w:bidi="ar-SA"/>
        </w:rPr>
        <w:t>是否破损。如发现问题请立即与中心联系。若暂不检测，收到样本后应立即将产品置于（-20±5）℃环境中保存。</w:t>
      </w:r>
    </w:p>
    <w:p w14:paraId="3D7B8E77">
      <w:pPr>
        <w:pStyle w:val="12"/>
        <w:keepNext w:val="0"/>
        <w:keepLines w:val="0"/>
        <w:pageBreakBefore w:val="0"/>
        <w:numPr>
          <w:ilvl w:val="0"/>
          <w:numId w:val="0"/>
        </w:numPr>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w:t>
      </w:r>
      <w:r>
        <w:rPr>
          <w:rFonts w:hint="eastAsia" w:ascii="宋体" w:hAnsi="宋体" w:cs="宋体"/>
          <w:kern w:val="0"/>
          <w:sz w:val="21"/>
          <w:szCs w:val="21"/>
          <w:lang w:val="en-US" w:eastAsia="zh-CN" w:bidi="ar-SA"/>
        </w:rPr>
        <w:t>、</w:t>
      </w:r>
      <w:r>
        <w:rPr>
          <w:rFonts w:hint="eastAsia" w:ascii="宋体" w:hAnsi="宋体" w:eastAsia="宋体" w:cs="宋体"/>
          <w:kern w:val="0"/>
          <w:sz w:val="21"/>
          <w:szCs w:val="21"/>
          <w:lang w:val="en-US" w:eastAsia="zh-CN" w:bidi="ar-SA"/>
        </w:rPr>
        <w:t>质评样本：0.5</w:t>
      </w:r>
      <w:r>
        <w:rPr>
          <w:rFonts w:hint="eastAsia" w:ascii="宋体" w:hAnsi="宋体" w:cs="宋体"/>
          <w:kern w:val="0"/>
          <w:sz w:val="21"/>
          <w:szCs w:val="21"/>
          <w:lang w:val="en-US" w:eastAsia="zh-CN" w:bidi="ar-SA"/>
        </w:rPr>
        <w:t xml:space="preserve"> </w:t>
      </w:r>
      <w:r>
        <w:rPr>
          <w:rFonts w:hint="eastAsia" w:ascii="宋体" w:hAnsi="宋体" w:eastAsia="宋体" w:cs="宋体"/>
          <w:kern w:val="0"/>
          <w:sz w:val="21"/>
          <w:szCs w:val="21"/>
          <w:lang w:val="en-US" w:eastAsia="zh-CN" w:bidi="ar-SA"/>
        </w:rPr>
        <w:t>ml/</w:t>
      </w:r>
      <w:r>
        <w:rPr>
          <w:rFonts w:hint="eastAsia" w:ascii="宋体" w:hAnsi="宋体" w:cs="宋体"/>
          <w:kern w:val="0"/>
          <w:sz w:val="21"/>
          <w:szCs w:val="21"/>
          <w:lang w:val="en-US" w:eastAsia="zh-CN" w:bidi="ar-SA"/>
        </w:rPr>
        <w:t>管</w:t>
      </w:r>
      <w:r>
        <w:rPr>
          <w:rFonts w:hint="eastAsia" w:ascii="宋体" w:hAnsi="宋体" w:eastAsia="宋体" w:cs="宋体"/>
          <w:kern w:val="0"/>
          <w:sz w:val="21"/>
          <w:szCs w:val="21"/>
          <w:lang w:val="en-US" w:eastAsia="zh-CN" w:bidi="ar-SA"/>
        </w:rPr>
        <w:t>，</w:t>
      </w:r>
      <w:r>
        <w:rPr>
          <w:rFonts w:hint="eastAsia" w:ascii="宋体" w:hAnsi="宋体" w:cs="宋体"/>
          <w:kern w:val="0"/>
          <w:sz w:val="21"/>
          <w:szCs w:val="21"/>
          <w:lang w:val="en-US" w:eastAsia="zh-CN" w:bidi="ar-SA"/>
        </w:rPr>
        <w:t>冻干粉</w:t>
      </w:r>
      <w:r>
        <w:rPr>
          <w:rFonts w:hint="eastAsia" w:ascii="宋体" w:hAnsi="宋体" w:eastAsia="宋体" w:cs="宋体"/>
          <w:kern w:val="0"/>
          <w:sz w:val="21"/>
          <w:szCs w:val="21"/>
          <w:lang w:val="en-US" w:eastAsia="zh-CN" w:bidi="ar-SA"/>
        </w:rPr>
        <w:t>。本制品由灭活培养液经稀释液稀释制备。收到质评样品后，应立即检查样品的批号、数量是否与活动安排相符，检查样品是否渗漏。</w:t>
      </w:r>
      <w:r>
        <w:rPr>
          <w:rFonts w:hint="eastAsia" w:ascii="宋体" w:hAnsi="宋体" w:eastAsia="宋体" w:cs="宋体"/>
          <w:kern w:val="0"/>
          <w:sz w:val="21"/>
          <w:szCs w:val="21"/>
          <w:u w:val="single"/>
          <w:lang w:val="en-US" w:eastAsia="zh-CN" w:bidi="ar-SA"/>
        </w:rPr>
        <w:t>若发现室间质评样品出现破损、重号、标识不清、标签脱落等问题，</w:t>
      </w:r>
      <w:r>
        <w:rPr>
          <w:rFonts w:hint="eastAsia" w:ascii="宋体" w:hAnsi="宋体" w:cs="宋体"/>
          <w:kern w:val="0"/>
          <w:sz w:val="21"/>
          <w:szCs w:val="21"/>
          <w:u w:val="single"/>
          <w:lang w:val="en-US" w:eastAsia="zh-CN" w:bidi="ar-SA"/>
        </w:rPr>
        <w:t>请扫描随货发放清单下面的二维码反馈相关问题，我们会尽快落实补发</w:t>
      </w:r>
      <w:r>
        <w:rPr>
          <w:rFonts w:hint="eastAsia" w:ascii="宋体" w:hAnsi="宋体" w:eastAsia="宋体" w:cs="宋体"/>
          <w:kern w:val="0"/>
          <w:sz w:val="21"/>
          <w:szCs w:val="21"/>
          <w:u w:val="single"/>
          <w:lang w:val="en-US" w:eastAsia="zh-CN" w:bidi="ar-SA"/>
        </w:rPr>
        <w:t>。</w:t>
      </w:r>
    </w:p>
    <w:p w14:paraId="2E015E55">
      <w:pPr>
        <w:pStyle w:val="12"/>
        <w:keepNext w:val="0"/>
        <w:keepLines w:val="0"/>
        <w:pageBreakBefore w:val="0"/>
        <w:numPr>
          <w:ilvl w:val="0"/>
          <w:numId w:val="0"/>
        </w:numPr>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kern w:val="0"/>
          <w:sz w:val="21"/>
          <w:szCs w:val="21"/>
          <w:lang w:val="en-US" w:eastAsia="zh-CN" w:bidi="ar-SA"/>
        </w:rPr>
      </w:pPr>
      <w:r>
        <w:rPr>
          <w:rFonts w:hint="eastAsia" w:ascii="宋体" w:hAnsi="宋体" w:cs="宋体"/>
          <w:kern w:val="0"/>
          <w:sz w:val="21"/>
          <w:szCs w:val="21"/>
          <w:lang w:val="en-US" w:eastAsia="zh-CN" w:bidi="ar-SA"/>
        </w:rPr>
        <w:t>3、</w:t>
      </w:r>
      <w:r>
        <w:rPr>
          <w:rFonts w:hint="eastAsia" w:ascii="宋体" w:hAnsi="宋体" w:eastAsia="宋体" w:cs="宋体"/>
          <w:kern w:val="0"/>
          <w:sz w:val="21"/>
          <w:szCs w:val="21"/>
          <w:lang w:val="en-US" w:eastAsia="zh-CN" w:bidi="ar-SA"/>
        </w:rPr>
        <w:t>样品处理方法</w:t>
      </w:r>
      <w:r>
        <w:rPr>
          <w:rFonts w:hint="eastAsia" w:ascii="宋体" w:hAnsi="宋体" w:cs="宋体"/>
          <w:kern w:val="0"/>
          <w:sz w:val="21"/>
          <w:szCs w:val="21"/>
          <w:lang w:val="en-US" w:eastAsia="zh-CN" w:bidi="ar-SA"/>
        </w:rPr>
        <w:t>：</w:t>
      </w:r>
    </w:p>
    <w:p w14:paraId="26554787">
      <w:pPr>
        <w:pStyle w:val="12"/>
        <w:keepNext w:val="0"/>
        <w:keepLines w:val="0"/>
        <w:pageBreakBefore w:val="0"/>
        <w:numPr>
          <w:ilvl w:val="0"/>
          <w:numId w:val="0"/>
        </w:numPr>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kern w:val="0"/>
          <w:sz w:val="21"/>
          <w:szCs w:val="21"/>
          <w:lang w:val="en-US" w:eastAsia="zh-CN" w:bidi="ar-SA"/>
        </w:rPr>
      </w:pPr>
      <w:r>
        <w:rPr>
          <w:rFonts w:hint="eastAsia" w:cs="Times New Roman"/>
          <w:b w:val="0"/>
          <w:bCs w:val="0"/>
          <w:kern w:val="2"/>
          <w:sz w:val="21"/>
          <w:szCs w:val="24"/>
          <w:highlight w:val="none"/>
          <w:lang w:val="en-US" w:eastAsia="zh-CN" w:bidi="ar-SA"/>
        </w:rPr>
        <w:t>①</w:t>
      </w:r>
      <w:r>
        <w:rPr>
          <w:rFonts w:hint="eastAsia" w:ascii="宋体" w:hAnsi="宋体" w:eastAsia="宋体" w:cs="宋体"/>
          <w:kern w:val="0"/>
          <w:sz w:val="21"/>
          <w:szCs w:val="21"/>
          <w:lang w:val="en-US" w:eastAsia="zh-CN" w:bidi="ar-SA"/>
        </w:rPr>
        <w:t>使用时小心打开管盖，往冻存管中准确加入 0.5mL 超纯水，小心盖上管盖，静置约 20 分钟，使内含的冻干粉未被水湿润并逐渐溶解，期间轻轻晃动瓶子 5~ 10 次，然后，颠倒瓶子静置约 5 分钟，使管盖上的粉末也充分溶解。最后震荡混匀，6000rpm 瞬时离心后即可使用。</w:t>
      </w:r>
    </w:p>
    <w:p w14:paraId="0C5725A5">
      <w:pPr>
        <w:pStyle w:val="12"/>
        <w:keepNext w:val="0"/>
        <w:keepLines w:val="0"/>
        <w:pageBreakBefore w:val="0"/>
        <w:numPr>
          <w:ilvl w:val="0"/>
          <w:numId w:val="0"/>
        </w:numPr>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②样品复融后，应在 2℃~8℃低温环境暂存或-20℃环境中冻存，尽量避免反复冻融，开瓶后建议 3 周内使用完。</w:t>
      </w:r>
    </w:p>
    <w:p w14:paraId="7598472C">
      <w:pPr>
        <w:pStyle w:val="12"/>
        <w:keepNext w:val="0"/>
        <w:keepLines w:val="0"/>
        <w:pageBreakBefore w:val="0"/>
        <w:numPr>
          <w:ilvl w:val="0"/>
          <w:numId w:val="0"/>
        </w:numPr>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③本冻干品应作为待测样本使用，具体操作方法参见试剂盒的使用说明书。实验完毕用10%次氯酸或 75%酒精处理工作台和移液器,然后用紫外线灯照射 20~30min。</w:t>
      </w:r>
      <w:bookmarkStart w:id="2" w:name="_GoBack"/>
      <w:bookmarkEnd w:id="2"/>
    </w:p>
    <w:p w14:paraId="532392C0">
      <w:pPr>
        <w:keepNext w:val="0"/>
        <w:keepLines w:val="0"/>
        <w:widowControl/>
        <w:suppressLineNumbers w:val="0"/>
        <w:jc w:val="left"/>
      </w:pPr>
      <w:r>
        <w:rPr>
          <w:rFonts w:hint="eastAsia" w:ascii="宋体" w:hAnsi="宋体" w:eastAsia="宋体" w:cs="宋体"/>
          <w:b/>
          <w:bCs/>
          <w:color w:val="000000"/>
          <w:kern w:val="0"/>
          <w:sz w:val="21"/>
          <w:szCs w:val="21"/>
          <w:lang w:val="en-US" w:eastAsia="zh-CN" w:bidi="ar"/>
        </w:rPr>
        <w:t xml:space="preserve">三、注意事项 </w:t>
      </w:r>
    </w:p>
    <w:p w14:paraId="3E9EE905">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cs="Times New Roman" w:eastAsiaTheme="minorEastAsia"/>
          <w:kern w:val="2"/>
          <w:sz w:val="21"/>
          <w:szCs w:val="20"/>
          <w:lang w:val="en-US" w:eastAsia="zh-CN" w:bidi="ar-SA"/>
        </w:rPr>
      </w:pPr>
      <w:r>
        <w:rPr>
          <w:rFonts w:hint="eastAsia" w:cs="Times New Roman" w:eastAsiaTheme="minorEastAsia"/>
          <w:kern w:val="2"/>
          <w:sz w:val="21"/>
          <w:szCs w:val="20"/>
          <w:lang w:val="en-US" w:eastAsia="zh-CN" w:bidi="ar-SA"/>
        </w:rPr>
        <w:t>1、</w:t>
      </w:r>
      <w:r>
        <w:rPr>
          <w:rFonts w:hint="eastAsia" w:ascii="Times New Roman" w:hAnsi="Times New Roman" w:cs="Times New Roman" w:eastAsiaTheme="minorEastAsia"/>
          <w:kern w:val="2"/>
          <w:sz w:val="21"/>
          <w:szCs w:val="20"/>
          <w:lang w:val="en-US" w:eastAsia="zh-CN" w:bidi="ar-SA"/>
        </w:rPr>
        <w:t xml:space="preserve">室间质评活动安排及注意事项、质评结果上报表、方法仪器试剂等编码表均可在广东省临床检验中心首页—质评资料—“2026 广东省室间质评各专业活动安排及编码下载”中查看并自行下载。 </w:t>
      </w:r>
    </w:p>
    <w:p w14:paraId="6FA6A0A4">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rPr>
      </w:pPr>
      <w:r>
        <w:rPr>
          <w:rFonts w:hint="eastAsia" w:ascii="宋体" w:hAnsi="宋体" w:cs="宋体"/>
          <w:lang w:val="en-US" w:eastAsia="zh-CN"/>
        </w:rPr>
        <w:t>2、</w:t>
      </w:r>
      <w:r>
        <w:rPr>
          <w:rFonts w:hint="eastAsia" w:ascii="宋体" w:hAnsi="宋体" w:eastAsia="宋体" w:cs="宋体"/>
          <w:lang w:val="en-US" w:eastAsia="zh-CN"/>
        </w:rPr>
        <w:t>质评结果以</w:t>
      </w:r>
      <w:r>
        <w:rPr>
          <w:rFonts w:hint="eastAsia" w:ascii="宋体" w:hAnsi="宋体" w:eastAsia="宋体" w:cs="宋体"/>
        </w:rPr>
        <w:t>电子方式回报</w:t>
      </w:r>
      <w:r>
        <w:rPr>
          <w:rFonts w:hint="eastAsia" w:ascii="宋体" w:hAnsi="宋体" w:eastAsia="宋体" w:cs="宋体"/>
          <w:lang w:eastAsia="zh-CN"/>
        </w:rPr>
        <w:t>，</w:t>
      </w:r>
      <w:r>
        <w:rPr>
          <w:rFonts w:hint="eastAsia" w:ascii="宋体" w:hAnsi="宋体" w:eastAsia="宋体" w:cs="宋体"/>
        </w:rPr>
        <w:t>实验室登陆路径：</w:t>
      </w:r>
    </w:p>
    <w:p w14:paraId="06B92C53">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kern w:val="0"/>
          <w:szCs w:val="21"/>
        </w:rPr>
      </w:pPr>
      <w:r>
        <w:rPr>
          <w:rFonts w:hint="eastAsia" w:ascii="宋体" w:hAnsi="宋体" w:eastAsia="宋体" w:cs="宋体"/>
          <w:color w:val="000000"/>
          <w:lang w:eastAsia="zh-CN"/>
        </w:rPr>
        <w:t>（</w:t>
      </w:r>
      <w:r>
        <w:rPr>
          <w:rFonts w:hint="eastAsia" w:ascii="宋体" w:hAnsi="宋体" w:eastAsia="宋体" w:cs="宋体"/>
          <w:color w:val="000000"/>
          <w:lang w:val="en-US" w:eastAsia="zh-CN"/>
        </w:rPr>
        <w:t>1）</w:t>
      </w:r>
      <w:r>
        <w:rPr>
          <w:rFonts w:hint="eastAsia" w:ascii="宋体" w:hAnsi="宋体" w:eastAsia="宋体" w:cs="宋体"/>
          <w:color w:val="000000"/>
        </w:rPr>
        <w:t>http://gdccl.clinet.com.cn在</w:t>
      </w:r>
      <w:r>
        <w:rPr>
          <w:rFonts w:hint="eastAsia" w:ascii="宋体" w:hAnsi="宋体" w:eastAsia="宋体" w:cs="宋体"/>
          <w:kern w:val="0"/>
          <w:szCs w:val="21"/>
        </w:rPr>
        <w:t>首页登陆区内相应位置填写实验室用户名和密码，点击“登陆”按钮进入EQA系统。</w:t>
      </w:r>
    </w:p>
    <w:p w14:paraId="28FF18D7">
      <w:pPr>
        <w:keepNext w:val="0"/>
        <w:keepLines w:val="0"/>
        <w:pageBreakBefore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kern w:val="0"/>
          <w:szCs w:val="21"/>
        </w:rPr>
      </w:pPr>
      <w:r>
        <w:rPr>
          <w:rFonts w:hint="eastAsia" w:ascii="宋体" w:hAnsi="宋体" w:eastAsia="宋体" w:cs="宋体"/>
          <w:lang w:eastAsia="zh-CN"/>
        </w:rPr>
        <w:t>（</w:t>
      </w:r>
      <w:r>
        <w:rPr>
          <w:rFonts w:hint="eastAsia" w:ascii="宋体" w:hAnsi="宋体" w:eastAsia="宋体" w:cs="宋体"/>
          <w:lang w:val="en-US" w:eastAsia="zh-CN"/>
        </w:rPr>
        <w:t>2）</w:t>
      </w:r>
      <w:r>
        <w:rPr>
          <w:rFonts w:hint="eastAsia" w:ascii="宋体" w:hAnsi="宋体" w:eastAsia="宋体" w:cs="宋体"/>
        </w:rPr>
        <w:t>http://www.clinet.com.cn</w:t>
      </w:r>
      <w:r>
        <w:rPr>
          <w:rFonts w:hint="eastAsia" w:ascii="宋体" w:hAnsi="宋体" w:eastAsia="宋体" w:cs="宋体"/>
          <w:color w:val="000000"/>
        </w:rPr>
        <w:t>在</w:t>
      </w:r>
      <w:r>
        <w:rPr>
          <w:rFonts w:hint="eastAsia" w:ascii="宋体" w:hAnsi="宋体" w:eastAsia="宋体" w:cs="宋体"/>
          <w:kern w:val="0"/>
          <w:szCs w:val="21"/>
        </w:rPr>
        <w:t>首页点击室间质评图标，弹出登陆区后在相应位置填写实验室用户名和密码，点击“登陆”按钮进入EQA系统。</w:t>
      </w:r>
    </w:p>
    <w:p w14:paraId="175DC017">
      <w:pPr>
        <w:keepNext w:val="0"/>
        <w:keepLines w:val="0"/>
        <w:pageBreakBefore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rPr>
      </w:pPr>
      <w:r>
        <w:rPr>
          <w:rFonts w:hint="eastAsia" w:ascii="宋体" w:hAnsi="宋体" w:eastAsia="宋体" w:cs="宋体"/>
        </w:rPr>
        <w:t>两种路径都可进入广东省室间质评系统回报数据，实验室可根据网络情况选用。</w:t>
      </w:r>
    </w:p>
    <w:p w14:paraId="48010FA1">
      <w:pPr>
        <w:keepNext w:val="0"/>
        <w:keepLines w:val="0"/>
        <w:pageBreakBefore w:val="0"/>
        <w:widowControl/>
        <w:suppressLineNumbers w:val="0"/>
        <w:kinsoku/>
        <w:wordWrap/>
        <w:overflowPunct/>
        <w:topLinePunct w:val="0"/>
        <w:autoSpaceDE/>
        <w:autoSpaceDN/>
        <w:bidi w:val="0"/>
        <w:adjustRightInd/>
        <w:spacing w:line="360" w:lineRule="auto"/>
        <w:ind w:firstLine="420" w:firstLineChars="200"/>
        <w:jc w:val="left"/>
        <w:textAlignment w:val="auto"/>
        <w:rPr>
          <w:color w:val="FF0000"/>
        </w:rPr>
      </w:pPr>
      <w:r>
        <w:rPr>
          <w:rFonts w:hint="eastAsia" w:ascii="宋体" w:hAnsi="宋体" w:cs="宋体"/>
          <w:color w:val="000000"/>
          <w:kern w:val="0"/>
          <w:sz w:val="21"/>
          <w:szCs w:val="21"/>
          <w:lang w:val="en-US" w:eastAsia="zh-CN" w:bidi="ar"/>
        </w:rPr>
        <w:t>3、</w:t>
      </w:r>
      <w:r>
        <w:rPr>
          <w:rFonts w:hint="eastAsia" w:ascii="宋体" w:hAnsi="宋体" w:eastAsia="宋体" w:cs="宋体"/>
          <w:color w:val="000000"/>
          <w:kern w:val="0"/>
          <w:sz w:val="21"/>
          <w:szCs w:val="21"/>
          <w:lang w:val="en-US" w:eastAsia="zh-CN" w:bidi="ar"/>
        </w:rPr>
        <w:t>网上填写结果和编码时，应仔细审核，没有问题后再发送，提示发送成功后，</w:t>
      </w:r>
      <w:r>
        <w:rPr>
          <w:rFonts w:hint="eastAsia" w:ascii="宋体" w:hAnsi="宋体" w:eastAsia="宋体" w:cs="宋体"/>
          <w:b/>
          <w:bCs/>
          <w:color w:val="FF0000"/>
          <w:kern w:val="0"/>
          <w:sz w:val="21"/>
          <w:szCs w:val="21"/>
          <w:lang w:val="en-US" w:eastAsia="zh-CN" w:bidi="ar"/>
        </w:rPr>
        <w:t>必须到已上报数据栏进行结果的确认（必须步骤）。为保证及时回报结果，截止日期后收到的结果将不予统计分析。</w:t>
      </w:r>
    </w:p>
    <w:p w14:paraId="000F4E7B">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kern w:val="0"/>
          <w:szCs w:val="21"/>
        </w:rPr>
      </w:pPr>
      <w:r>
        <w:rPr>
          <w:rFonts w:hint="eastAsia" w:ascii="宋体" w:hAnsi="宋体" w:cs="宋体"/>
          <w:kern w:val="0"/>
          <w:szCs w:val="21"/>
          <w:lang w:val="en-US" w:eastAsia="zh-CN"/>
        </w:rPr>
        <w:t>4、</w:t>
      </w:r>
      <w:r>
        <w:rPr>
          <w:rFonts w:hint="eastAsia" w:ascii="宋体" w:hAnsi="宋体" w:eastAsia="宋体" w:cs="宋体"/>
          <w:kern w:val="0"/>
          <w:szCs w:val="21"/>
          <w:lang w:val="en-US" w:eastAsia="zh-CN"/>
        </w:rPr>
        <w:t>质评统计结果反馈，</w:t>
      </w:r>
      <w:r>
        <w:rPr>
          <w:rFonts w:hint="eastAsia" w:ascii="宋体" w:hAnsi="宋体" w:eastAsia="宋体" w:cs="宋体"/>
          <w:kern w:val="0"/>
          <w:szCs w:val="21"/>
        </w:rPr>
        <w:t>本年度的质评统计结果及年度质评证书以电子方式从网上反馈给实验室，不再打印纸质的统计结果表及汇总成绩表。</w:t>
      </w:r>
    </w:p>
    <w:p w14:paraId="70585925">
      <w:pPr>
        <w:keepNext w:val="0"/>
        <w:keepLines w:val="0"/>
        <w:pageBreakBefore w:val="0"/>
        <w:widowControl/>
        <w:suppressLineNumbers w:val="0"/>
        <w:kinsoku/>
        <w:wordWrap/>
        <w:overflowPunct/>
        <w:topLinePunct w:val="0"/>
        <w:autoSpaceDE/>
        <w:autoSpaceDN/>
        <w:bidi w:val="0"/>
        <w:adjustRightInd/>
        <w:spacing w:line="360" w:lineRule="auto"/>
        <w:ind w:firstLine="420" w:firstLineChars="200"/>
        <w:jc w:val="left"/>
        <w:textAlignment w:val="auto"/>
        <w:rPr>
          <w:rFonts w:hint="eastAsia" w:eastAsia="宋体"/>
          <w:lang w:eastAsia="zh-CN"/>
        </w:rPr>
      </w:pPr>
      <w:r>
        <w:rPr>
          <w:rFonts w:hint="eastAsia" w:ascii="宋体" w:hAnsi="宋体" w:cs="宋体"/>
          <w:color w:val="000000"/>
          <w:kern w:val="0"/>
          <w:sz w:val="21"/>
          <w:szCs w:val="21"/>
          <w:lang w:val="en-US" w:eastAsia="zh-CN" w:bidi="ar"/>
        </w:rPr>
        <w:t>5、</w:t>
      </w:r>
      <w:r>
        <w:rPr>
          <w:rFonts w:hint="eastAsia" w:ascii="宋体" w:hAnsi="宋体" w:eastAsia="宋体" w:cs="宋体"/>
          <w:color w:val="000000"/>
          <w:kern w:val="0"/>
          <w:sz w:val="21"/>
          <w:szCs w:val="21"/>
          <w:lang w:val="en-US" w:eastAsia="zh-CN" w:bidi="ar"/>
        </w:rPr>
        <w:t>室间质评活动中的专业问题可与分子免疫组联系：</w:t>
      </w:r>
      <w:r>
        <w:rPr>
          <w:rFonts w:hint="eastAsia" w:ascii="宋体" w:hAnsi="宋体" w:eastAsia="宋体" w:cs="宋体"/>
          <w:b w:val="0"/>
          <w:bCs w:val="0"/>
          <w:kern w:val="0"/>
          <w:sz w:val="21"/>
          <w:szCs w:val="21"/>
          <w:lang w:val="en-US" w:eastAsia="zh-CN" w:bidi="ar-SA"/>
        </w:rPr>
        <w:t>陈老师020-81881055，81922518。</w:t>
      </w:r>
    </w:p>
    <w:p w14:paraId="291DFDDB"/>
    <w:sectPr>
      <w:pgSz w:w="11906" w:h="16838"/>
      <w:pgMar w:top="1134" w:right="1077" w:bottom="1134" w:left="107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2UzYjBhMGMxOWRlNjhjYTRlNjE0YjA0ZmQ5MTkzZDYifQ=="/>
  </w:docVars>
  <w:rsids>
    <w:rsidRoot w:val="005F3B95"/>
    <w:rsid w:val="000243A1"/>
    <w:rsid w:val="00036CA4"/>
    <w:rsid w:val="000A7ABE"/>
    <w:rsid w:val="000F3016"/>
    <w:rsid w:val="00133688"/>
    <w:rsid w:val="001727B7"/>
    <w:rsid w:val="002239A1"/>
    <w:rsid w:val="00296045"/>
    <w:rsid w:val="0030448E"/>
    <w:rsid w:val="00382784"/>
    <w:rsid w:val="003F1747"/>
    <w:rsid w:val="004B0D84"/>
    <w:rsid w:val="004C50BA"/>
    <w:rsid w:val="005474FC"/>
    <w:rsid w:val="005F3B95"/>
    <w:rsid w:val="00633525"/>
    <w:rsid w:val="006C10D2"/>
    <w:rsid w:val="006D5B70"/>
    <w:rsid w:val="00720A8D"/>
    <w:rsid w:val="00735068"/>
    <w:rsid w:val="00746A2E"/>
    <w:rsid w:val="0079453E"/>
    <w:rsid w:val="007A2018"/>
    <w:rsid w:val="009020C9"/>
    <w:rsid w:val="00980D75"/>
    <w:rsid w:val="009A3CD7"/>
    <w:rsid w:val="009E1D8F"/>
    <w:rsid w:val="009F2FD0"/>
    <w:rsid w:val="00A3222C"/>
    <w:rsid w:val="00A50554"/>
    <w:rsid w:val="00AB5094"/>
    <w:rsid w:val="00B81F6C"/>
    <w:rsid w:val="00BA1B14"/>
    <w:rsid w:val="00BB30CB"/>
    <w:rsid w:val="00BE13BE"/>
    <w:rsid w:val="00BE757C"/>
    <w:rsid w:val="00BF3DD5"/>
    <w:rsid w:val="00BF7DDD"/>
    <w:rsid w:val="00C77E13"/>
    <w:rsid w:val="00CC71E1"/>
    <w:rsid w:val="00CD4897"/>
    <w:rsid w:val="00D0517D"/>
    <w:rsid w:val="00D425CD"/>
    <w:rsid w:val="00DA5FE0"/>
    <w:rsid w:val="00E713F9"/>
    <w:rsid w:val="00EC04C3"/>
    <w:rsid w:val="00F66516"/>
    <w:rsid w:val="00F9113D"/>
    <w:rsid w:val="00FA3E98"/>
    <w:rsid w:val="07EE708B"/>
    <w:rsid w:val="188019F6"/>
    <w:rsid w:val="1B6B2C23"/>
    <w:rsid w:val="1BE054BF"/>
    <w:rsid w:val="2ACF787E"/>
    <w:rsid w:val="2B4C1378"/>
    <w:rsid w:val="2BB331A5"/>
    <w:rsid w:val="415F37E1"/>
    <w:rsid w:val="42F552DB"/>
    <w:rsid w:val="437938EE"/>
    <w:rsid w:val="5DD2132F"/>
    <w:rsid w:val="5FDC6F72"/>
    <w:rsid w:val="65C43C25"/>
    <w:rsid w:val="69146C72"/>
    <w:rsid w:val="6A911973"/>
    <w:rsid w:val="75E157F3"/>
    <w:rsid w:val="77CC28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qFormat="1" w:unhideWhenUsed="0" w:uiPriority="99"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11"/>
    <w:qFormat/>
    <w:uiPriority w:val="99"/>
    <w:pPr>
      <w:keepNext/>
      <w:keepLines/>
      <w:spacing w:before="260" w:after="260" w:line="416" w:lineRule="auto"/>
      <w:outlineLvl w:val="2"/>
    </w:pPr>
    <w:rPr>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List Number"/>
    <w:basedOn w:val="4"/>
    <w:qFormat/>
    <w:uiPriority w:val="99"/>
    <w:pPr>
      <w:widowControl/>
      <w:spacing w:after="220" w:line="220" w:lineRule="atLeast"/>
      <w:ind w:left="1800" w:right="720" w:hanging="360" w:firstLineChars="0"/>
      <w:contextualSpacing w:val="0"/>
      <w:jc w:val="left"/>
    </w:pPr>
    <w:rPr>
      <w:kern w:val="0"/>
      <w:sz w:val="20"/>
      <w:szCs w:val="20"/>
    </w:rPr>
  </w:style>
  <w:style w:type="paragraph" w:styleId="4">
    <w:name w:val="List"/>
    <w:basedOn w:val="1"/>
    <w:semiHidden/>
    <w:unhideWhenUsed/>
    <w:qFormat/>
    <w:uiPriority w:val="99"/>
    <w:pPr>
      <w:ind w:left="200" w:hanging="200" w:hangingChars="200"/>
      <w:contextualSpacing/>
    </w:pPr>
  </w:style>
  <w:style w:type="paragraph" w:styleId="5">
    <w:name w:val="footer"/>
    <w:basedOn w:val="1"/>
    <w:link w:val="10"/>
    <w:semiHidden/>
    <w:unhideWhenUsed/>
    <w:qFormat/>
    <w:uiPriority w:val="99"/>
    <w:pPr>
      <w:tabs>
        <w:tab w:val="center" w:pos="4153"/>
        <w:tab w:val="right" w:pos="8306"/>
      </w:tabs>
      <w:snapToGrid w:val="0"/>
      <w:jc w:val="left"/>
    </w:pPr>
    <w:rPr>
      <w:sz w:val="18"/>
      <w:szCs w:val="18"/>
    </w:rPr>
  </w:style>
  <w:style w:type="paragraph" w:styleId="6">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semiHidden/>
    <w:qFormat/>
    <w:uiPriority w:val="99"/>
    <w:rPr>
      <w:rFonts w:ascii="Times New Roman" w:hAnsi="Times New Roman" w:eastAsia="宋体" w:cs="Times New Roman"/>
      <w:sz w:val="18"/>
      <w:szCs w:val="18"/>
    </w:rPr>
  </w:style>
  <w:style w:type="character" w:customStyle="1" w:styleId="10">
    <w:name w:val="页脚 Char"/>
    <w:basedOn w:val="8"/>
    <w:link w:val="5"/>
    <w:semiHidden/>
    <w:qFormat/>
    <w:uiPriority w:val="99"/>
    <w:rPr>
      <w:rFonts w:ascii="Times New Roman" w:hAnsi="Times New Roman" w:eastAsia="宋体" w:cs="Times New Roman"/>
      <w:sz w:val="18"/>
      <w:szCs w:val="18"/>
    </w:rPr>
  </w:style>
  <w:style w:type="character" w:customStyle="1" w:styleId="11">
    <w:name w:val="标题 3 Char"/>
    <w:basedOn w:val="8"/>
    <w:link w:val="2"/>
    <w:qFormat/>
    <w:uiPriority w:val="99"/>
    <w:rPr>
      <w:rFonts w:ascii="Times New Roman" w:hAnsi="Times New Roman" w:eastAsia="宋体" w:cs="Times New Roman"/>
      <w:b/>
      <w:bCs/>
      <w:sz w:val="32"/>
      <w:szCs w:val="32"/>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F973A1-51D8-41FF-8AB7-5F7C8F4A2633}">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912</Words>
  <Characters>1041</Characters>
  <Lines>4</Lines>
  <Paragraphs>1</Paragraphs>
  <TotalTime>0</TotalTime>
  <ScaleCrop>false</ScaleCrop>
  <LinksUpToDate>false</LinksUpToDate>
  <CharactersWithSpaces>1052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2016-02-17T07:31:00Z</dcterms:created>
  <dc:creator>微软用户</dc:creator>
  <cp:lastModifiedBy>广东省临床检验中心</cp:lastModifiedBy>
  <dcterms:modified xsi:type="dcterms:W3CDTF">2026-02-28T04:02:26Z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2CC45D3F7B934B78A8C4D08331A8EB18_12</vt:lpwstr>
  </property>
  <property fmtid="{D5CDD505-2E9C-101B-9397-08002B2CF9AE}" pid="4" name="KSOTemplateDocerSaveRecord">
    <vt:lpwstr>eyJoZGlkIjoiZjMzYTEzNjA0MmM0YTIxM2FkZDdlMDU3NzI2MzQ0YzEiLCJ1c2VySWQiOiIzNjA0OTEwOTAifQ==</vt:lpwstr>
  </property>
</Properties>
</file>