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2D576">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b/>
          <w:sz w:val="40"/>
          <w:szCs w:val="40"/>
        </w:rPr>
      </w:pPr>
      <w:r>
        <w:rPr>
          <w:rFonts w:hint="eastAsia" w:ascii="Times New Roman" w:hAnsi="Times New Roman" w:eastAsia="宋体"/>
          <w:b/>
          <w:sz w:val="40"/>
          <w:szCs w:val="40"/>
        </w:rPr>
        <w:t>广东省202</w:t>
      </w:r>
      <w:r>
        <w:rPr>
          <w:rFonts w:hint="eastAsia" w:ascii="Times New Roman" w:hAnsi="Times New Roman" w:eastAsia="宋体"/>
          <w:b/>
          <w:sz w:val="40"/>
          <w:szCs w:val="40"/>
          <w:lang w:val="en-US" w:eastAsia="zh-CN"/>
        </w:rPr>
        <w:t>6</w:t>
      </w:r>
      <w:r>
        <w:rPr>
          <w:rFonts w:hint="eastAsia" w:ascii="Times New Roman" w:hAnsi="Times New Roman" w:eastAsia="宋体"/>
          <w:b/>
          <w:sz w:val="40"/>
          <w:szCs w:val="40"/>
        </w:rPr>
        <w:t>年</w:t>
      </w:r>
      <w:r>
        <w:rPr>
          <w:rFonts w:hint="eastAsia" w:ascii="Times New Roman" w:hAnsi="Times New Roman" w:eastAsia="宋体" w:cs="Times New Roman"/>
          <w:b/>
          <w:sz w:val="40"/>
          <w:szCs w:val="40"/>
        </w:rPr>
        <w:t>血铅</w:t>
      </w:r>
      <w:r>
        <w:rPr>
          <w:rFonts w:hint="eastAsia" w:ascii="Times New Roman" w:hAnsi="Times New Roman" w:eastAsia="宋体"/>
          <w:b/>
          <w:sz w:val="40"/>
          <w:szCs w:val="40"/>
        </w:rPr>
        <w:t>室</w:t>
      </w:r>
      <w:r>
        <w:rPr>
          <w:rFonts w:hint="eastAsia" w:ascii="Times New Roman" w:hAnsi="Times New Roman" w:eastAsia="宋体" w:cs="Times New Roman"/>
          <w:b/>
          <w:sz w:val="40"/>
          <w:szCs w:val="40"/>
        </w:rPr>
        <w:t>间质量评价</w:t>
      </w:r>
    </w:p>
    <w:p w14:paraId="7AE7D7FC">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sz w:val="40"/>
          <w:szCs w:val="40"/>
        </w:rPr>
      </w:pPr>
      <w:r>
        <w:rPr>
          <w:rFonts w:hint="eastAsia" w:ascii="Times New Roman" w:hAnsi="Times New Roman" w:eastAsia="宋体" w:cs="Times New Roman"/>
          <w:b/>
          <w:sz w:val="40"/>
          <w:szCs w:val="40"/>
        </w:rPr>
        <w:t>活动安排及注意事项</w:t>
      </w:r>
    </w:p>
    <w:p w14:paraId="0EEF1322">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一、质量评价项目与时间表</w:t>
      </w:r>
    </w:p>
    <w:p w14:paraId="7117B13E">
      <w:pPr>
        <w:pStyle w:val="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评价项目：</w:t>
      </w:r>
      <w:r>
        <w:rPr>
          <w:rFonts w:hint="eastAsia" w:ascii="Times New Roman" w:hAnsi="Times New Roman" w:eastAsia="宋体"/>
          <w:sz w:val="24"/>
          <w:szCs w:val="24"/>
        </w:rPr>
        <w:t>血铅定量测定</w:t>
      </w:r>
      <w:r>
        <w:rPr>
          <w:rFonts w:hint="eastAsia" w:ascii="Times New Roman" w:hAnsi="Times New Roman" w:eastAsia="宋体"/>
          <w:color w:val="000000"/>
          <w:sz w:val="24"/>
          <w:szCs w:val="24"/>
        </w:rPr>
        <w:t>。</w:t>
      </w:r>
      <w:bookmarkStart w:id="0" w:name="_GoBack"/>
      <w:bookmarkEnd w:id="0"/>
    </w:p>
    <w:p w14:paraId="193A2F65">
      <w:pPr>
        <w:pStyle w:val="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cs="Times New Roman"/>
          <w:sz w:val="24"/>
          <w:szCs w:val="24"/>
        </w:rPr>
      </w:pPr>
      <w:r>
        <w:rPr>
          <w:rFonts w:hint="eastAsia" w:ascii="Times New Roman" w:hAnsi="Times New Roman" w:eastAsia="宋体"/>
          <w:sz w:val="24"/>
          <w:szCs w:val="24"/>
        </w:rPr>
        <w:t>全年开展一次</w:t>
      </w:r>
      <w:r>
        <w:rPr>
          <w:rFonts w:hint="eastAsia" w:ascii="Times New Roman" w:hAnsi="Times New Roman" w:eastAsia="宋体" w:cs="Times New Roman"/>
          <w:sz w:val="24"/>
          <w:szCs w:val="24"/>
        </w:rPr>
        <w:t>室间质量评价活动</w:t>
      </w:r>
      <w:r>
        <w:rPr>
          <w:rFonts w:hint="eastAsia" w:ascii="Times New Roman" w:hAnsi="Times New Roman" w:eastAsia="宋体"/>
          <w:sz w:val="24"/>
          <w:szCs w:val="24"/>
        </w:rPr>
        <w:t>，每次测定</w:t>
      </w:r>
      <w:r>
        <w:rPr>
          <w:rFonts w:hint="eastAsia" w:ascii="Times New Roman" w:hAnsi="Times New Roman" w:eastAsia="宋体" w:cs="Times New Roman"/>
          <w:sz w:val="24"/>
          <w:szCs w:val="24"/>
        </w:rPr>
        <w:t>5个</w:t>
      </w:r>
      <w:r>
        <w:rPr>
          <w:rFonts w:hint="eastAsia" w:ascii="Times New Roman" w:hAnsi="Times New Roman" w:eastAsia="宋体"/>
          <w:sz w:val="24"/>
          <w:szCs w:val="24"/>
        </w:rPr>
        <w:t>样本</w:t>
      </w:r>
      <w:r>
        <w:rPr>
          <w:rFonts w:hint="eastAsia" w:ascii="Times New Roman" w:hAnsi="Times New Roman" w:eastAsia="宋体" w:cs="Times New Roman"/>
          <w:sz w:val="24"/>
          <w:szCs w:val="24"/>
        </w:rPr>
        <w:t>。</w:t>
      </w:r>
    </w:p>
    <w:tbl>
      <w:tblPr>
        <w:tblStyle w:val="4"/>
        <w:tblW w:w="50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4884"/>
        <w:gridCol w:w="1354"/>
        <w:gridCol w:w="1278"/>
        <w:gridCol w:w="1282"/>
      </w:tblGrid>
      <w:tr w14:paraId="6A29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34" w:type="pct"/>
            <w:vAlign w:val="center"/>
          </w:tcPr>
          <w:p w14:paraId="33C893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活动次数</w:t>
            </w:r>
          </w:p>
        </w:tc>
        <w:tc>
          <w:tcPr>
            <w:tcW w:w="2423" w:type="pct"/>
            <w:vAlign w:val="center"/>
          </w:tcPr>
          <w:p w14:paraId="374B0D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批号</w:t>
            </w:r>
          </w:p>
        </w:tc>
        <w:tc>
          <w:tcPr>
            <w:tcW w:w="672" w:type="pct"/>
            <w:vAlign w:val="center"/>
          </w:tcPr>
          <w:p w14:paraId="2EED97C8">
            <w:pPr>
              <w:keepNext w:val="0"/>
              <w:keepLines w:val="0"/>
              <w:pageBreakBefore w:val="0"/>
              <w:widowControl w:val="0"/>
              <w:kinsoku/>
              <w:wordWrap/>
              <w:overflowPunct/>
              <w:topLinePunct w:val="0"/>
              <w:autoSpaceDE/>
              <w:autoSpaceDN/>
              <w:bidi w:val="0"/>
              <w:adjustRightInd/>
              <w:snapToGrid/>
              <w:spacing w:line="240" w:lineRule="auto"/>
              <w:ind w:left="-107" w:leftChars="-51"/>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样品</w:t>
            </w:r>
            <w:r>
              <w:rPr>
                <w:rFonts w:ascii="Times New Roman" w:hAnsi="Times New Roman" w:eastAsia="宋体" w:cs="Times New Roman"/>
                <w:b/>
                <w:bCs/>
                <w:sz w:val="24"/>
                <w:szCs w:val="24"/>
              </w:rPr>
              <w:t>建议</w:t>
            </w:r>
          </w:p>
          <w:p w14:paraId="54DAC749">
            <w:pPr>
              <w:keepNext w:val="0"/>
              <w:keepLines w:val="0"/>
              <w:pageBreakBefore w:val="0"/>
              <w:widowControl w:val="0"/>
              <w:kinsoku/>
              <w:wordWrap/>
              <w:overflowPunct/>
              <w:topLinePunct w:val="0"/>
              <w:autoSpaceDE/>
              <w:autoSpaceDN/>
              <w:bidi w:val="0"/>
              <w:adjustRightInd/>
              <w:snapToGrid/>
              <w:spacing w:line="240" w:lineRule="auto"/>
              <w:ind w:left="-107" w:leftChars="-51"/>
              <w:jc w:val="center"/>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测定日期</w:t>
            </w:r>
          </w:p>
        </w:tc>
        <w:tc>
          <w:tcPr>
            <w:tcW w:w="634" w:type="pct"/>
            <w:vAlign w:val="center"/>
          </w:tcPr>
          <w:p w14:paraId="4DF7A8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结果上报</w:t>
            </w:r>
          </w:p>
          <w:p w14:paraId="0156C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截止日期</w:t>
            </w:r>
          </w:p>
        </w:tc>
        <w:tc>
          <w:tcPr>
            <w:tcW w:w="636" w:type="pct"/>
            <w:vAlign w:val="center"/>
          </w:tcPr>
          <w:p w14:paraId="68412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质评成绩</w:t>
            </w:r>
          </w:p>
          <w:p w14:paraId="54A177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下发</w:t>
            </w:r>
            <w:r>
              <w:rPr>
                <w:rFonts w:ascii="Times New Roman" w:hAnsi="Times New Roman" w:eastAsia="宋体" w:cs="Times New Roman"/>
                <w:b/>
                <w:bCs/>
                <w:sz w:val="24"/>
                <w:szCs w:val="24"/>
              </w:rPr>
              <w:t>日期</w:t>
            </w:r>
          </w:p>
        </w:tc>
      </w:tr>
      <w:tr w14:paraId="7904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34" w:type="pct"/>
            <w:vAlign w:val="center"/>
          </w:tcPr>
          <w:p w14:paraId="2AEA9580">
            <w:pPr>
              <w:keepNext w:val="0"/>
              <w:keepLines w:val="0"/>
              <w:pageBreakBefore w:val="0"/>
              <w:kinsoku/>
              <w:wordWrap/>
              <w:overflowPunct/>
              <w:topLinePunct w:val="0"/>
              <w:autoSpaceDE/>
              <w:autoSpaceDN/>
              <w:bidi w:val="0"/>
              <w:adjustRightInd/>
              <w:snapToGrid/>
              <w:spacing w:line="360" w:lineRule="auto"/>
              <w:ind w:left="-141" w:leftChars="-67"/>
              <w:jc w:val="center"/>
              <w:textAlignment w:val="auto"/>
              <w:rPr>
                <w:rFonts w:ascii="Times New Roman" w:hAnsi="Times New Roman" w:eastAsia="宋体" w:cs="Times New Roman"/>
                <w:sz w:val="28"/>
                <w:szCs w:val="28"/>
              </w:rPr>
            </w:pPr>
            <w:r>
              <w:rPr>
                <w:rFonts w:ascii="Times New Roman" w:hAnsi="Times New Roman" w:eastAsia="宋体" w:cs="Times New Roman"/>
                <w:sz w:val="28"/>
                <w:szCs w:val="32"/>
              </w:rPr>
              <w:t>第</w:t>
            </w:r>
            <w:r>
              <w:rPr>
                <w:rFonts w:hint="eastAsia" w:ascii="Times New Roman" w:hAnsi="Times New Roman" w:eastAsia="宋体" w:cs="Times New Roman"/>
                <w:sz w:val="28"/>
                <w:szCs w:val="32"/>
              </w:rPr>
              <w:t>一</w:t>
            </w:r>
            <w:r>
              <w:rPr>
                <w:rFonts w:ascii="Times New Roman" w:hAnsi="Times New Roman" w:eastAsia="宋体" w:cs="Times New Roman"/>
                <w:sz w:val="28"/>
                <w:szCs w:val="32"/>
              </w:rPr>
              <w:t>次</w:t>
            </w:r>
          </w:p>
        </w:tc>
        <w:tc>
          <w:tcPr>
            <w:tcW w:w="2423" w:type="pct"/>
            <w:vAlign w:val="center"/>
          </w:tcPr>
          <w:p w14:paraId="50CF4B5F">
            <w:pPr>
              <w:keepNext w:val="0"/>
              <w:keepLines w:val="0"/>
              <w:pageBreakBefore w:val="0"/>
              <w:kinsoku/>
              <w:wordWrap/>
              <w:overflowPunct/>
              <w:topLinePunct w:val="0"/>
              <w:autoSpaceDE/>
              <w:autoSpaceDN/>
              <w:bidi w:val="0"/>
              <w:adjustRightInd/>
              <w:snapToGrid/>
              <w:spacing w:line="360" w:lineRule="auto"/>
              <w:ind w:left="31" w:leftChars="15"/>
              <w:jc w:val="center"/>
              <w:textAlignment w:val="auto"/>
              <w:rPr>
                <w:rFonts w:ascii="Times New Roman" w:hAnsi="Times New Roman" w:eastAsia="宋体" w:cs="Times New Roman"/>
                <w:sz w:val="22"/>
                <w:szCs w:val="22"/>
              </w:rPr>
            </w:pPr>
            <w:r>
              <w:rPr>
                <w:rFonts w:hint="eastAsia" w:ascii="Times New Roman" w:hAnsi="Times New Roman" w:eastAsia="宋体" w:cs="Times New Roman"/>
                <w:sz w:val="22"/>
                <w:szCs w:val="22"/>
              </w:rPr>
              <w:t>202</w:t>
            </w:r>
            <w:r>
              <w:rPr>
                <w:rFonts w:hint="eastAsia" w:ascii="Times New Roman" w:hAnsi="Times New Roman" w:eastAsia="宋体" w:cs="Times New Roman"/>
                <w:sz w:val="22"/>
                <w:szCs w:val="22"/>
                <w:lang w:val="en-US" w:eastAsia="zh-CN"/>
              </w:rPr>
              <w:t>6</w:t>
            </w:r>
            <w:r>
              <w:rPr>
                <w:rFonts w:hint="eastAsia" w:ascii="Times New Roman" w:hAnsi="Times New Roman" w:eastAsia="宋体" w:cs="Times New Roman"/>
                <w:sz w:val="22"/>
                <w:szCs w:val="22"/>
              </w:rPr>
              <w:t>0101</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202</w:t>
            </w:r>
            <w:r>
              <w:rPr>
                <w:rFonts w:hint="eastAsia" w:ascii="Times New Roman" w:hAnsi="Times New Roman" w:eastAsia="宋体" w:cs="Times New Roman"/>
                <w:sz w:val="22"/>
                <w:szCs w:val="22"/>
                <w:lang w:val="en-US" w:eastAsia="zh-CN"/>
              </w:rPr>
              <w:t>6</w:t>
            </w:r>
            <w:r>
              <w:rPr>
                <w:rFonts w:hint="eastAsia" w:ascii="Times New Roman" w:hAnsi="Times New Roman" w:eastAsia="宋体" w:cs="Times New Roman"/>
                <w:sz w:val="22"/>
                <w:szCs w:val="22"/>
              </w:rPr>
              <w:t>0102</w:t>
            </w:r>
            <w:r>
              <w:rPr>
                <w:rFonts w:hint="eastAsia" w:ascii="Times New Roman" w:hAnsi="Times New Roman" w:eastAsia="宋体" w:cs="Times New Roman"/>
                <w:sz w:val="22"/>
                <w:szCs w:val="22"/>
                <w:lang w:eastAsia="zh-CN"/>
              </w:rPr>
              <w:t>，</w:t>
            </w:r>
            <w:r>
              <w:rPr>
                <w:rFonts w:ascii="Times New Roman" w:hAnsi="Times New Roman" w:eastAsia="宋体" w:cs="Times New Roman"/>
                <w:sz w:val="22"/>
                <w:szCs w:val="22"/>
              </w:rPr>
              <w:t>202</w:t>
            </w:r>
            <w:r>
              <w:rPr>
                <w:rFonts w:hint="eastAsia" w:ascii="Times New Roman" w:hAnsi="Times New Roman" w:eastAsia="宋体" w:cs="Times New Roman"/>
                <w:sz w:val="22"/>
                <w:szCs w:val="22"/>
                <w:lang w:val="en-US" w:eastAsia="zh-CN"/>
              </w:rPr>
              <w:t>6</w:t>
            </w:r>
            <w:r>
              <w:rPr>
                <w:rFonts w:hint="eastAsia" w:ascii="Times New Roman" w:hAnsi="Times New Roman" w:eastAsia="宋体" w:cs="Times New Roman"/>
                <w:sz w:val="22"/>
                <w:szCs w:val="22"/>
              </w:rPr>
              <w:t>0103</w:t>
            </w:r>
            <w:r>
              <w:rPr>
                <w:rFonts w:hint="eastAsia" w:ascii="Times New Roman" w:hAnsi="Times New Roman" w:eastAsia="宋体" w:cs="Times New Roman"/>
                <w:sz w:val="22"/>
                <w:szCs w:val="22"/>
                <w:lang w:eastAsia="zh-CN"/>
              </w:rPr>
              <w:t>，</w:t>
            </w:r>
            <w:r>
              <w:rPr>
                <w:rFonts w:ascii="Times New Roman" w:hAnsi="Times New Roman" w:eastAsia="宋体" w:cs="Times New Roman"/>
                <w:sz w:val="22"/>
                <w:szCs w:val="22"/>
              </w:rPr>
              <w:t>202</w:t>
            </w:r>
            <w:r>
              <w:rPr>
                <w:rFonts w:hint="eastAsia" w:ascii="Times New Roman" w:hAnsi="Times New Roman" w:eastAsia="宋体" w:cs="Times New Roman"/>
                <w:sz w:val="22"/>
                <w:szCs w:val="22"/>
                <w:lang w:val="en-US" w:eastAsia="zh-CN"/>
              </w:rPr>
              <w:t>6</w:t>
            </w:r>
            <w:r>
              <w:rPr>
                <w:rFonts w:hint="eastAsia" w:ascii="Times New Roman" w:hAnsi="Times New Roman" w:eastAsia="宋体" w:cs="Times New Roman"/>
                <w:sz w:val="22"/>
                <w:szCs w:val="22"/>
              </w:rPr>
              <w:t>0104</w:t>
            </w:r>
            <w:r>
              <w:rPr>
                <w:rFonts w:hint="eastAsia" w:ascii="Times New Roman" w:hAnsi="Times New Roman" w:eastAsia="宋体" w:cs="Times New Roman"/>
                <w:sz w:val="22"/>
                <w:szCs w:val="22"/>
                <w:lang w:eastAsia="zh-CN"/>
              </w:rPr>
              <w:t>，</w:t>
            </w:r>
            <w:r>
              <w:rPr>
                <w:rFonts w:ascii="Times New Roman" w:hAnsi="Times New Roman" w:eastAsia="宋体" w:cs="Times New Roman"/>
                <w:sz w:val="22"/>
                <w:szCs w:val="22"/>
              </w:rPr>
              <w:t>202</w:t>
            </w:r>
            <w:r>
              <w:rPr>
                <w:rFonts w:hint="eastAsia" w:ascii="Times New Roman" w:hAnsi="Times New Roman" w:eastAsia="宋体" w:cs="Times New Roman"/>
                <w:sz w:val="22"/>
                <w:szCs w:val="22"/>
                <w:lang w:val="en-US" w:eastAsia="zh-CN"/>
              </w:rPr>
              <w:t>6</w:t>
            </w:r>
            <w:r>
              <w:rPr>
                <w:rFonts w:hint="eastAsia" w:ascii="Times New Roman" w:hAnsi="Times New Roman" w:eastAsia="宋体" w:cs="Times New Roman"/>
                <w:sz w:val="22"/>
                <w:szCs w:val="22"/>
              </w:rPr>
              <w:t>0105</w:t>
            </w:r>
          </w:p>
        </w:tc>
        <w:tc>
          <w:tcPr>
            <w:tcW w:w="672" w:type="pct"/>
            <w:vAlign w:val="center"/>
          </w:tcPr>
          <w:p w14:paraId="78ED3C72">
            <w:pPr>
              <w:keepNext w:val="0"/>
              <w:keepLines w:val="0"/>
              <w:pageBreakBefore w:val="0"/>
              <w:kinsoku/>
              <w:wordWrap/>
              <w:overflowPunct/>
              <w:topLinePunct w:val="0"/>
              <w:autoSpaceDE/>
              <w:autoSpaceDN/>
              <w:bidi w:val="0"/>
              <w:adjustRightInd/>
              <w:snapToGrid/>
              <w:spacing w:line="360" w:lineRule="auto"/>
              <w:ind w:left="-178" w:leftChars="-85"/>
              <w:jc w:val="center"/>
              <w:textAlignment w:val="auto"/>
              <w:rPr>
                <w:rFonts w:ascii="Times New Roman" w:hAnsi="Times New Roman" w:eastAsia="宋体" w:cs="Times New Roman"/>
                <w:b/>
                <w:sz w:val="22"/>
                <w:szCs w:val="22"/>
              </w:rPr>
            </w:pPr>
            <w:r>
              <w:rPr>
                <w:rFonts w:hint="eastAsia" w:ascii="Times New Roman" w:hAnsi="Times New Roman" w:eastAsia="宋体"/>
                <w:sz w:val="22"/>
                <w:szCs w:val="22"/>
                <w:lang w:val="en-US" w:eastAsia="zh-CN"/>
              </w:rPr>
              <w:t>9</w:t>
            </w:r>
            <w:r>
              <w:rPr>
                <w:rFonts w:ascii="Times New Roman" w:hAnsi="Times New Roman" w:eastAsia="宋体" w:cs="Times New Roman"/>
                <w:sz w:val="22"/>
                <w:szCs w:val="22"/>
              </w:rPr>
              <w:t>月</w:t>
            </w:r>
            <w:r>
              <w:rPr>
                <w:rFonts w:hint="eastAsia" w:ascii="Times New Roman" w:hAnsi="Times New Roman" w:eastAsia="宋体"/>
                <w:sz w:val="22"/>
                <w:szCs w:val="22"/>
                <w:lang w:val="en-US" w:eastAsia="zh-CN"/>
              </w:rPr>
              <w:t>16</w:t>
            </w:r>
            <w:r>
              <w:rPr>
                <w:rFonts w:ascii="Times New Roman" w:hAnsi="Times New Roman" w:eastAsia="宋体" w:cs="Times New Roman"/>
                <w:sz w:val="22"/>
                <w:szCs w:val="22"/>
              </w:rPr>
              <w:t>日</w:t>
            </w:r>
          </w:p>
        </w:tc>
        <w:tc>
          <w:tcPr>
            <w:tcW w:w="634" w:type="pct"/>
            <w:vAlign w:val="center"/>
          </w:tcPr>
          <w:p w14:paraId="2CB8D6D7">
            <w:pPr>
              <w:keepNext w:val="0"/>
              <w:keepLines w:val="0"/>
              <w:pageBreakBefore w:val="0"/>
              <w:kinsoku/>
              <w:wordWrap/>
              <w:overflowPunct/>
              <w:topLinePunct w:val="0"/>
              <w:autoSpaceDE/>
              <w:autoSpaceDN/>
              <w:bidi w:val="0"/>
              <w:adjustRightInd/>
              <w:snapToGrid/>
              <w:spacing w:line="360" w:lineRule="auto"/>
              <w:ind w:left="-130" w:leftChars="-62"/>
              <w:jc w:val="center"/>
              <w:textAlignment w:val="auto"/>
              <w:rPr>
                <w:rFonts w:ascii="Times New Roman" w:hAnsi="Times New Roman" w:eastAsia="宋体" w:cs="Times New Roman"/>
                <w:sz w:val="22"/>
                <w:szCs w:val="22"/>
              </w:rPr>
            </w:pPr>
            <w:r>
              <w:rPr>
                <w:rFonts w:hint="eastAsia" w:ascii="Times New Roman" w:hAnsi="Times New Roman" w:eastAsia="宋体" w:cs="Times New Roman"/>
                <w:sz w:val="22"/>
                <w:szCs w:val="22"/>
                <w:lang w:val="en-US" w:eastAsia="zh-CN"/>
              </w:rPr>
              <w:t>9</w:t>
            </w:r>
            <w:r>
              <w:rPr>
                <w:rFonts w:ascii="Times New Roman" w:hAnsi="Times New Roman" w:eastAsia="宋体" w:cs="Times New Roman"/>
                <w:sz w:val="22"/>
                <w:szCs w:val="22"/>
              </w:rPr>
              <w:t>月</w:t>
            </w:r>
            <w:r>
              <w:rPr>
                <w:rFonts w:hint="eastAsia" w:ascii="Times New Roman" w:hAnsi="Times New Roman" w:eastAsia="宋体"/>
                <w:sz w:val="22"/>
                <w:szCs w:val="22"/>
                <w:lang w:val="en-US" w:eastAsia="zh-CN"/>
              </w:rPr>
              <w:t>30</w:t>
            </w:r>
            <w:r>
              <w:rPr>
                <w:rFonts w:ascii="Times New Roman" w:hAnsi="Times New Roman" w:eastAsia="宋体" w:cs="Times New Roman"/>
                <w:sz w:val="22"/>
                <w:szCs w:val="22"/>
              </w:rPr>
              <w:t>日</w:t>
            </w:r>
          </w:p>
        </w:tc>
        <w:tc>
          <w:tcPr>
            <w:tcW w:w="636" w:type="pct"/>
            <w:vAlign w:val="center"/>
          </w:tcPr>
          <w:p w14:paraId="3D5A30AF">
            <w:pPr>
              <w:keepNext w:val="0"/>
              <w:keepLines w:val="0"/>
              <w:pageBreakBefore w:val="0"/>
              <w:kinsoku/>
              <w:wordWrap/>
              <w:overflowPunct/>
              <w:topLinePunct w:val="0"/>
              <w:autoSpaceDE/>
              <w:autoSpaceDN/>
              <w:bidi w:val="0"/>
              <w:adjustRightInd/>
              <w:snapToGrid/>
              <w:spacing w:line="360" w:lineRule="auto"/>
              <w:ind w:left="-82" w:leftChars="-39"/>
              <w:jc w:val="center"/>
              <w:textAlignment w:val="auto"/>
              <w:rPr>
                <w:rFonts w:ascii="Times New Roman" w:hAnsi="Times New Roman" w:eastAsia="宋体" w:cs="Times New Roman"/>
                <w:sz w:val="22"/>
                <w:szCs w:val="22"/>
              </w:rPr>
            </w:pPr>
            <w:r>
              <w:rPr>
                <w:rFonts w:hint="eastAsia" w:ascii="Times New Roman" w:hAnsi="Times New Roman" w:eastAsia="宋体"/>
                <w:sz w:val="22"/>
                <w:szCs w:val="22"/>
              </w:rPr>
              <w:t>1</w:t>
            </w:r>
            <w:r>
              <w:rPr>
                <w:rFonts w:hint="eastAsia" w:ascii="Times New Roman" w:hAnsi="Times New Roman" w:eastAsia="宋体"/>
                <w:sz w:val="22"/>
                <w:szCs w:val="22"/>
                <w:lang w:val="en-US" w:eastAsia="zh-CN"/>
              </w:rPr>
              <w:t>0</w:t>
            </w:r>
            <w:r>
              <w:rPr>
                <w:rFonts w:ascii="Times New Roman" w:hAnsi="Times New Roman" w:eastAsia="宋体" w:cs="Times New Roman"/>
                <w:sz w:val="22"/>
                <w:szCs w:val="22"/>
              </w:rPr>
              <w:t>月</w:t>
            </w:r>
            <w:r>
              <w:rPr>
                <w:rFonts w:hint="eastAsia" w:ascii="Times New Roman" w:hAnsi="Times New Roman" w:eastAsia="宋体" w:cs="Times New Roman"/>
                <w:sz w:val="22"/>
                <w:szCs w:val="22"/>
                <w:lang w:val="en-US" w:eastAsia="zh-CN"/>
              </w:rPr>
              <w:t>31</w:t>
            </w:r>
            <w:r>
              <w:rPr>
                <w:rFonts w:ascii="Times New Roman" w:hAnsi="Times New Roman" w:eastAsia="宋体" w:cs="Times New Roman"/>
                <w:sz w:val="22"/>
                <w:szCs w:val="22"/>
              </w:rPr>
              <w:t>日</w:t>
            </w:r>
          </w:p>
        </w:tc>
      </w:tr>
    </w:tbl>
    <w:p w14:paraId="6F4365C5">
      <w:pPr>
        <w:keepNext w:val="0"/>
        <w:keepLines w:val="0"/>
        <w:pageBreakBefore w:val="0"/>
        <w:kinsoku/>
        <w:wordWrap/>
        <w:overflowPunct/>
        <w:topLinePunct w:val="0"/>
        <w:autoSpaceDE/>
        <w:autoSpaceDN/>
        <w:bidi w:val="0"/>
        <w:adjustRightInd/>
        <w:snapToGrid/>
        <w:spacing w:beforeAutospacing="0" w:afterAutospacing="0" w:line="360" w:lineRule="auto"/>
        <w:ind w:left="-3" w:firstLine="480" w:firstLineChars="200"/>
        <w:textAlignment w:val="auto"/>
        <w:rPr>
          <w:rFonts w:ascii="Times New Roman" w:hAnsi="Times New Roman" w:eastAsia="宋体"/>
          <w:sz w:val="24"/>
          <w:szCs w:val="24"/>
        </w:rPr>
      </w:pPr>
      <w:r>
        <w:rPr>
          <w:rFonts w:hint="eastAsia" w:ascii="Times New Roman" w:hAnsi="Times New Roman" w:eastAsia="宋体" w:cs="Times New Roman"/>
          <w:sz w:val="24"/>
          <w:szCs w:val="24"/>
        </w:rPr>
        <w:t xml:space="preserve">注：为保证及时统计回报结果，截止日期后收到的结果将不予统计分析。  </w:t>
      </w:r>
    </w:p>
    <w:p w14:paraId="270254C0">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二、样品保存</w:t>
      </w:r>
    </w:p>
    <w:p w14:paraId="70CE1C3A">
      <w:pPr>
        <w:keepNext w:val="0"/>
        <w:keepLines w:val="0"/>
        <w:pageBreakBefore w:val="0"/>
        <w:kinsoku/>
        <w:wordWrap/>
        <w:overflowPunct/>
        <w:topLinePunct w:val="0"/>
        <w:autoSpaceDE/>
        <w:autoSpaceDN/>
        <w:bidi w:val="0"/>
        <w:adjustRightInd/>
        <w:snapToGrid/>
        <w:spacing w:beforeAutospacing="0" w:afterAutospacing="0" w:line="360" w:lineRule="auto"/>
        <w:ind w:left="-2" w:leftChars="-1" w:firstLine="480" w:firstLineChars="200"/>
        <w:textAlignment w:val="auto"/>
        <w:rPr>
          <w:rFonts w:ascii="Times New Roman" w:hAnsi="Times New Roman" w:eastAsia="宋体"/>
          <w:sz w:val="24"/>
          <w:szCs w:val="24"/>
        </w:rPr>
      </w:pPr>
      <w:r>
        <w:rPr>
          <w:rFonts w:hint="eastAsia" w:ascii="Times New Roman" w:hAnsi="Times New Roman" w:eastAsia="宋体"/>
          <w:bCs/>
          <w:sz w:val="24"/>
          <w:szCs w:val="24"/>
        </w:rPr>
        <w:t>请在收到质控物后立即检测。否则应在</w:t>
      </w:r>
      <w:r>
        <w:rPr>
          <w:rFonts w:hint="eastAsia" w:ascii="Times New Roman" w:hAnsi="Times New Roman" w:eastAsia="宋体"/>
          <w:b/>
          <w:bCs/>
          <w:sz w:val="24"/>
          <w:szCs w:val="24"/>
        </w:rPr>
        <w:t>-12～-20℃低温保存</w:t>
      </w:r>
      <w:r>
        <w:rPr>
          <w:rFonts w:hint="eastAsia" w:ascii="Times New Roman" w:hAnsi="Times New Roman" w:eastAsia="宋体"/>
          <w:bCs/>
          <w:sz w:val="24"/>
          <w:szCs w:val="24"/>
        </w:rPr>
        <w:t>。</w:t>
      </w:r>
    </w:p>
    <w:p w14:paraId="2C24F2E7">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三、样品处理</w:t>
      </w:r>
    </w:p>
    <w:p w14:paraId="02145CFC">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Times New Roman" w:hAnsi="Times New Roman" w:eastAsia="宋体"/>
          <w:bCs/>
          <w:sz w:val="24"/>
          <w:szCs w:val="24"/>
        </w:rPr>
      </w:pPr>
      <w:r>
        <w:rPr>
          <w:rFonts w:hint="eastAsia" w:ascii="Times New Roman" w:hAnsi="Times New Roman" w:eastAsia="宋体"/>
          <w:bCs/>
          <w:sz w:val="24"/>
          <w:szCs w:val="24"/>
        </w:rPr>
        <w:t>质评物均为液体全血（</w:t>
      </w:r>
      <w:r>
        <w:rPr>
          <w:rFonts w:ascii="Times New Roman" w:hAnsi="Times New Roman" w:eastAsia="宋体"/>
          <w:bCs/>
          <w:sz w:val="24"/>
          <w:szCs w:val="24"/>
        </w:rPr>
        <w:t>1.5ml</w:t>
      </w:r>
      <w:r>
        <w:rPr>
          <w:rFonts w:hint="eastAsia" w:ascii="Times New Roman" w:hAnsi="Times New Roman" w:eastAsia="宋体"/>
          <w:bCs/>
          <w:sz w:val="24"/>
          <w:szCs w:val="24"/>
        </w:rPr>
        <w:t>）。测定前室温放置，解冻，充分混匀即可取样分析。使用后需要盖紧瓶盖，放入冰箱，冷冻保存。</w:t>
      </w:r>
    </w:p>
    <w:p w14:paraId="5250762D">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ascii="Times New Roman" w:hAnsi="Times New Roman" w:eastAsia="宋体" w:cs="Times New Roman"/>
          <w:b/>
          <w:color w:val="FF0000"/>
          <w:sz w:val="24"/>
          <w:szCs w:val="24"/>
        </w:rPr>
      </w:pPr>
      <w:r>
        <w:rPr>
          <w:rFonts w:hint="eastAsia" w:ascii="Times New Roman" w:hAnsi="Times New Roman" w:eastAsia="宋体" w:cs="Times New Roman"/>
          <w:b/>
          <w:sz w:val="24"/>
          <w:szCs w:val="24"/>
        </w:rPr>
        <w:t>质评样品的检测应与病人标本相同，请以潜在传染性物品处理。</w:t>
      </w:r>
    </w:p>
    <w:p w14:paraId="6C0C6F93">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四、数据回报</w:t>
      </w:r>
    </w:p>
    <w:p w14:paraId="27F11A61">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ascii="Times New Roman" w:hAnsi="Times New Roman" w:eastAsia="宋体"/>
          <w:sz w:val="24"/>
          <w:szCs w:val="24"/>
        </w:rPr>
      </w:pPr>
      <w:r>
        <w:rPr>
          <w:rFonts w:hint="eastAsia" w:ascii="Times New Roman" w:hAnsi="Times New Roman" w:eastAsia="宋体"/>
          <w:b/>
          <w:sz w:val="24"/>
          <w:szCs w:val="24"/>
        </w:rPr>
        <w:t>请尽量使用电子方式回报数据，</w:t>
      </w:r>
      <w:r>
        <w:rPr>
          <w:rFonts w:hint="eastAsia" w:ascii="Times New Roman" w:hAnsi="Times New Roman" w:eastAsia="宋体"/>
          <w:sz w:val="24"/>
          <w:szCs w:val="28"/>
        </w:rPr>
        <w:t>以电子方式回报的实验室不需填写及寄回纸质回报表。</w:t>
      </w:r>
      <w:r>
        <w:rPr>
          <w:rFonts w:hint="eastAsia" w:ascii="Times New Roman" w:hAnsi="Times New Roman" w:eastAsia="宋体"/>
          <w:sz w:val="24"/>
          <w:szCs w:val="24"/>
        </w:rPr>
        <w:t>实验室</w:t>
      </w:r>
      <w:r>
        <w:rPr>
          <w:rFonts w:hint="eastAsia" w:ascii="Times New Roman" w:hAnsi="Times New Roman" w:eastAsia="宋体"/>
          <w:sz w:val="24"/>
          <w:szCs w:val="24"/>
          <w:lang w:eastAsia="zh-CN"/>
        </w:rPr>
        <w:t>登录</w:t>
      </w:r>
      <w:r>
        <w:rPr>
          <w:rFonts w:hint="eastAsia" w:ascii="Times New Roman" w:hAnsi="Times New Roman" w:eastAsia="宋体"/>
          <w:sz w:val="24"/>
          <w:szCs w:val="24"/>
        </w:rPr>
        <w:t>广东省临床检验中心网站回报数据路径：</w:t>
      </w:r>
    </w:p>
    <w:p w14:paraId="62AF80FE">
      <w:pPr>
        <w:pStyle w:val="6"/>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sz w:val="24"/>
          <w:szCs w:val="24"/>
        </w:rPr>
      </w:pPr>
      <w:r>
        <w:rPr>
          <w:rFonts w:ascii="Times New Roman" w:hAnsi="Times New Roman" w:eastAsia="宋体" w:cs="Times New Roman"/>
          <w:kern w:val="2"/>
          <w:sz w:val="24"/>
          <w:szCs w:val="24"/>
        </w:rPr>
        <w:t>http:// gdccl.clinet.com.cn</w:t>
      </w:r>
      <w:r>
        <w:rPr>
          <w:rFonts w:hint="eastAsia" w:ascii="Times New Roman" w:hAnsi="Times New Roman" w:eastAsia="宋体"/>
          <w:kern w:val="2"/>
          <w:sz w:val="24"/>
          <w:szCs w:val="24"/>
        </w:rPr>
        <w:t>在首页</w:t>
      </w:r>
      <w:r>
        <w:rPr>
          <w:rFonts w:hint="eastAsia" w:ascii="Times New Roman" w:hAnsi="Times New Roman" w:eastAsia="宋体"/>
          <w:kern w:val="2"/>
          <w:sz w:val="24"/>
          <w:szCs w:val="24"/>
          <w:lang w:eastAsia="zh-CN"/>
        </w:rPr>
        <w:t>登录</w:t>
      </w:r>
      <w:r>
        <w:rPr>
          <w:rFonts w:hint="eastAsia" w:ascii="Times New Roman" w:hAnsi="Times New Roman" w:eastAsia="宋体"/>
          <w:kern w:val="2"/>
          <w:sz w:val="24"/>
          <w:szCs w:val="24"/>
        </w:rPr>
        <w:t>区内相应位置填写实验室用户名和密码，点击“</w:t>
      </w:r>
      <w:r>
        <w:rPr>
          <w:rFonts w:hint="eastAsia" w:ascii="Times New Roman" w:hAnsi="Times New Roman" w:eastAsia="宋体"/>
          <w:kern w:val="2"/>
          <w:sz w:val="24"/>
          <w:szCs w:val="24"/>
          <w:lang w:eastAsia="zh-CN"/>
        </w:rPr>
        <w:t>登录</w:t>
      </w:r>
      <w:r>
        <w:rPr>
          <w:rFonts w:hint="eastAsia" w:ascii="Times New Roman" w:hAnsi="Times New Roman" w:eastAsia="宋体"/>
          <w:kern w:val="2"/>
          <w:sz w:val="24"/>
          <w:szCs w:val="24"/>
        </w:rPr>
        <w:t>”按钮进</w:t>
      </w:r>
      <w:r>
        <w:rPr>
          <w:rFonts w:ascii="Times New Roman" w:hAnsi="Times New Roman" w:eastAsia="宋体" w:cs="Times New Roman"/>
          <w:kern w:val="2"/>
          <w:sz w:val="24"/>
          <w:szCs w:val="24"/>
        </w:rPr>
        <w:t>入</w:t>
      </w:r>
      <w:r>
        <w:rPr>
          <w:rFonts w:ascii="Times New Roman" w:hAnsi="Times New Roman" w:eastAsia="宋体" w:cs="Times New Roman"/>
          <w:kern w:val="2"/>
          <w:sz w:val="24"/>
          <w:szCs w:val="24"/>
        </w:rPr>
        <w:t>EQA</w:t>
      </w:r>
      <w:r>
        <w:rPr>
          <w:rFonts w:ascii="Times New Roman" w:hAnsi="Times New Roman" w:eastAsia="宋体" w:cs="Times New Roman"/>
          <w:kern w:val="2"/>
          <w:sz w:val="24"/>
          <w:szCs w:val="24"/>
        </w:rPr>
        <w:t>系</w:t>
      </w:r>
      <w:r>
        <w:rPr>
          <w:rFonts w:hint="eastAsia" w:ascii="Times New Roman" w:hAnsi="Times New Roman" w:eastAsia="宋体"/>
          <w:kern w:val="2"/>
          <w:sz w:val="24"/>
          <w:szCs w:val="24"/>
        </w:rPr>
        <w:t>统。</w:t>
      </w:r>
    </w:p>
    <w:p w14:paraId="6B447A9A">
      <w:pPr>
        <w:pStyle w:val="6"/>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cs="Times New Roman"/>
          <w:kern w:val="2"/>
          <w:sz w:val="24"/>
          <w:szCs w:val="24"/>
        </w:rPr>
      </w:pPr>
      <w:r>
        <w:rPr>
          <w:rFonts w:ascii="Times New Roman" w:hAnsi="Times New Roman" w:eastAsia="宋体" w:cs="Times New Roman"/>
          <w:kern w:val="2"/>
          <w:sz w:val="24"/>
          <w:szCs w:val="24"/>
        </w:rPr>
        <w:t>http://www.clinet.com.cn</w:t>
      </w:r>
      <w:r>
        <w:rPr>
          <w:rFonts w:hint="eastAsia" w:ascii="Times New Roman" w:hAnsi="Times New Roman" w:eastAsia="宋体"/>
          <w:kern w:val="2"/>
          <w:sz w:val="24"/>
          <w:szCs w:val="24"/>
        </w:rPr>
        <w:t>在首页点击室间质评图标，弹出</w:t>
      </w:r>
      <w:r>
        <w:rPr>
          <w:rFonts w:hint="eastAsia" w:ascii="Times New Roman" w:hAnsi="Times New Roman" w:eastAsia="宋体"/>
          <w:kern w:val="2"/>
          <w:sz w:val="24"/>
          <w:szCs w:val="24"/>
          <w:lang w:eastAsia="zh-CN"/>
        </w:rPr>
        <w:t>登录</w:t>
      </w:r>
      <w:r>
        <w:rPr>
          <w:rFonts w:hint="eastAsia" w:ascii="Times New Roman" w:hAnsi="Times New Roman" w:eastAsia="宋体"/>
          <w:kern w:val="2"/>
          <w:sz w:val="24"/>
          <w:szCs w:val="24"/>
        </w:rPr>
        <w:t>区后在相应位置填写实验室用户名和密码，点击“</w:t>
      </w:r>
      <w:r>
        <w:rPr>
          <w:rFonts w:hint="eastAsia" w:ascii="Times New Roman" w:hAnsi="Times New Roman" w:eastAsia="宋体"/>
          <w:kern w:val="2"/>
          <w:sz w:val="24"/>
          <w:szCs w:val="24"/>
          <w:lang w:eastAsia="zh-CN"/>
        </w:rPr>
        <w:t>登录</w:t>
      </w:r>
      <w:r>
        <w:rPr>
          <w:rFonts w:hint="eastAsia" w:ascii="Times New Roman" w:hAnsi="Times New Roman" w:eastAsia="宋体"/>
          <w:kern w:val="2"/>
          <w:sz w:val="24"/>
          <w:szCs w:val="24"/>
        </w:rPr>
        <w:t>”按</w:t>
      </w:r>
      <w:r>
        <w:rPr>
          <w:rFonts w:ascii="Times New Roman" w:hAnsi="Times New Roman" w:eastAsia="宋体" w:cs="Times New Roman"/>
          <w:kern w:val="2"/>
          <w:sz w:val="24"/>
          <w:szCs w:val="24"/>
        </w:rPr>
        <w:t>钮进入</w:t>
      </w:r>
      <w:r>
        <w:rPr>
          <w:rFonts w:ascii="Times New Roman" w:hAnsi="Times New Roman" w:eastAsia="宋体" w:cs="Times New Roman"/>
          <w:kern w:val="2"/>
          <w:sz w:val="24"/>
          <w:szCs w:val="24"/>
        </w:rPr>
        <w:t>EQA</w:t>
      </w:r>
      <w:r>
        <w:rPr>
          <w:rFonts w:ascii="Times New Roman" w:hAnsi="Times New Roman" w:eastAsia="宋体" w:cs="Times New Roman"/>
          <w:kern w:val="2"/>
          <w:sz w:val="24"/>
          <w:szCs w:val="24"/>
        </w:rPr>
        <w:t>系统。</w:t>
      </w:r>
    </w:p>
    <w:p w14:paraId="5E4D3B35">
      <w:pPr>
        <w:keepNext w:val="0"/>
        <w:keepLines w:val="0"/>
        <w:pageBreakBefore w:val="0"/>
        <w:kinsoku/>
        <w:wordWrap/>
        <w:overflowPunct/>
        <w:topLinePunct w:val="0"/>
        <w:autoSpaceDE/>
        <w:autoSpaceDN/>
        <w:bidi w:val="0"/>
        <w:adjustRightInd/>
        <w:snapToGrid/>
        <w:spacing w:beforeAutospacing="0" w:afterAutospacing="0" w:line="360" w:lineRule="auto"/>
        <w:ind w:left="420"/>
        <w:textAlignment w:val="auto"/>
        <w:rPr>
          <w:rFonts w:ascii="Times New Roman" w:hAnsi="Times New Roman" w:eastAsia="宋体"/>
          <w:sz w:val="24"/>
          <w:szCs w:val="24"/>
        </w:rPr>
      </w:pPr>
      <w:r>
        <w:rPr>
          <w:rFonts w:hint="eastAsia" w:ascii="Times New Roman" w:hAnsi="Times New Roman" w:eastAsia="宋体"/>
          <w:sz w:val="24"/>
          <w:szCs w:val="24"/>
        </w:rPr>
        <w:t>两种路径都可进入广东省室间质评系统回报数据，实验室可根据网络情况选用。</w:t>
      </w:r>
    </w:p>
    <w:p w14:paraId="3642EA64">
      <w:pPr>
        <w:keepNext w:val="0"/>
        <w:keepLines w:val="0"/>
        <w:pageBreakBefore w:val="0"/>
        <w:kinsoku/>
        <w:wordWrap/>
        <w:overflowPunct/>
        <w:topLinePunct w:val="0"/>
        <w:autoSpaceDE/>
        <w:autoSpaceDN/>
        <w:bidi w:val="0"/>
        <w:adjustRightInd/>
        <w:snapToGrid/>
        <w:spacing w:beforeAutospacing="0" w:afterAutospacing="0" w:line="360" w:lineRule="auto"/>
        <w:ind w:left="-3" w:firstLine="3"/>
        <w:textAlignment w:val="auto"/>
        <w:rPr>
          <w:rFonts w:ascii="Times New Roman" w:hAnsi="Times New Roman" w:eastAsia="宋体"/>
          <w:b/>
          <w:bCs/>
          <w:sz w:val="24"/>
          <w:szCs w:val="24"/>
        </w:rPr>
      </w:pPr>
      <w:r>
        <w:rPr>
          <w:rFonts w:hint="eastAsia" w:ascii="Times New Roman" w:hAnsi="Times New Roman" w:eastAsia="宋体"/>
          <w:b/>
          <w:bCs/>
          <w:sz w:val="24"/>
          <w:szCs w:val="24"/>
        </w:rPr>
        <w:t>五、结果反馈</w:t>
      </w:r>
    </w:p>
    <w:p w14:paraId="1E2C0353">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本年度的质评统计结果及年度质评证书以电子方式从网上反馈给实验室，不再打印纸质的统计结果表及汇总成绩表。</w:t>
      </w:r>
    </w:p>
    <w:p w14:paraId="7C634B51">
      <w:pPr>
        <w:keepNext w:val="0"/>
        <w:keepLines w:val="0"/>
        <w:pageBreakBefore w:val="0"/>
        <w:kinsoku/>
        <w:wordWrap/>
        <w:overflowPunct/>
        <w:topLinePunct w:val="0"/>
        <w:autoSpaceDE/>
        <w:autoSpaceDN/>
        <w:bidi w:val="0"/>
        <w:adjustRightInd/>
        <w:snapToGrid/>
        <w:spacing w:beforeAutospacing="0" w:afterAutospacing="0" w:line="360" w:lineRule="auto"/>
        <w:ind w:left="4620" w:leftChars="2200" w:firstLine="480" w:firstLineChars="200"/>
        <w:textAlignment w:val="auto"/>
        <w:rPr>
          <w:rFonts w:hint="eastAsia" w:ascii="Times New Roman" w:hAnsi="Times New Roman" w:eastAsia="宋体"/>
          <w:sz w:val="24"/>
          <w:szCs w:val="24"/>
        </w:rPr>
      </w:pPr>
    </w:p>
    <w:p w14:paraId="2069305F">
      <w:pPr>
        <w:keepNext w:val="0"/>
        <w:keepLines w:val="0"/>
        <w:pageBreakBefore w:val="0"/>
        <w:kinsoku/>
        <w:wordWrap/>
        <w:overflowPunct/>
        <w:topLinePunct w:val="0"/>
        <w:autoSpaceDE/>
        <w:autoSpaceDN/>
        <w:bidi w:val="0"/>
        <w:adjustRightInd/>
        <w:snapToGrid/>
        <w:spacing w:beforeAutospacing="0" w:afterAutospacing="0" w:line="360" w:lineRule="auto"/>
        <w:ind w:left="4620" w:leftChars="2200"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rPr>
        <w:t>广东省临床检验中心</w:t>
      </w:r>
      <w:r>
        <w:rPr>
          <w:rFonts w:hint="eastAsia" w:ascii="Times New Roman" w:hAnsi="Times New Roman" w:eastAsia="宋体"/>
          <w:sz w:val="24"/>
          <w:szCs w:val="24"/>
          <w:lang w:val="en-US" w:eastAsia="zh-CN"/>
        </w:rPr>
        <w:t>微生物组</w:t>
      </w:r>
    </w:p>
    <w:p w14:paraId="60FE3FB1">
      <w:pPr>
        <w:keepNext w:val="0"/>
        <w:keepLines w:val="0"/>
        <w:pageBreakBefore w:val="0"/>
        <w:kinsoku/>
        <w:wordWrap/>
        <w:overflowPunct/>
        <w:topLinePunct w:val="0"/>
        <w:autoSpaceDE/>
        <w:autoSpaceDN/>
        <w:bidi w:val="0"/>
        <w:adjustRightInd/>
        <w:snapToGrid/>
        <w:spacing w:beforeAutospacing="0" w:afterAutospacing="0" w:line="360" w:lineRule="auto"/>
        <w:ind w:firstLine="422" w:firstLineChars="200"/>
        <w:textAlignment w:val="auto"/>
        <w:rPr>
          <w:rFonts w:ascii="Times New Roman" w:hAnsi="Times New Roman" w:eastAsia="宋体"/>
          <w:b/>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7B3FEC"/>
    <w:multiLevelType w:val="multilevel"/>
    <w:tmpl w:val="2B7B3FE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4E6423F8"/>
    <w:multiLevelType w:val="multilevel"/>
    <w:tmpl w:val="4E6423F8"/>
    <w:lvl w:ilvl="0" w:tentative="0">
      <w:start w:val="1"/>
      <w:numFmt w:val="bullet"/>
      <w:lvlText w:val=""/>
      <w:lvlJc w:val="left"/>
      <w:pPr>
        <w:ind w:left="836" w:hanging="420"/>
      </w:pPr>
      <w:rPr>
        <w:rFonts w:hint="default" w:ascii="Wingdings" w:hAnsi="Wingdings"/>
      </w:rPr>
    </w:lvl>
    <w:lvl w:ilvl="1" w:tentative="0">
      <w:start w:val="1"/>
      <w:numFmt w:val="bullet"/>
      <w:lvlText w:val=""/>
      <w:lvlJc w:val="left"/>
      <w:pPr>
        <w:ind w:left="1256" w:hanging="420"/>
      </w:pPr>
      <w:rPr>
        <w:rFonts w:hint="default" w:ascii="Wingdings" w:hAnsi="Wingdings"/>
      </w:rPr>
    </w:lvl>
    <w:lvl w:ilvl="2" w:tentative="0">
      <w:start w:val="1"/>
      <w:numFmt w:val="bullet"/>
      <w:lvlText w:val=""/>
      <w:lvlJc w:val="left"/>
      <w:pPr>
        <w:ind w:left="1676" w:hanging="420"/>
      </w:pPr>
      <w:rPr>
        <w:rFonts w:hint="default" w:ascii="Wingdings" w:hAnsi="Wingdings"/>
      </w:rPr>
    </w:lvl>
    <w:lvl w:ilvl="3" w:tentative="0">
      <w:start w:val="1"/>
      <w:numFmt w:val="bullet"/>
      <w:lvlText w:val=""/>
      <w:lvlJc w:val="left"/>
      <w:pPr>
        <w:ind w:left="2096" w:hanging="420"/>
      </w:pPr>
      <w:rPr>
        <w:rFonts w:hint="default" w:ascii="Wingdings" w:hAnsi="Wingdings"/>
      </w:rPr>
    </w:lvl>
    <w:lvl w:ilvl="4" w:tentative="0">
      <w:start w:val="1"/>
      <w:numFmt w:val="bullet"/>
      <w:lvlText w:val=""/>
      <w:lvlJc w:val="left"/>
      <w:pPr>
        <w:ind w:left="2516" w:hanging="420"/>
      </w:pPr>
      <w:rPr>
        <w:rFonts w:hint="default" w:ascii="Wingdings" w:hAnsi="Wingdings"/>
      </w:rPr>
    </w:lvl>
    <w:lvl w:ilvl="5" w:tentative="0">
      <w:start w:val="1"/>
      <w:numFmt w:val="bullet"/>
      <w:lvlText w:val=""/>
      <w:lvlJc w:val="left"/>
      <w:pPr>
        <w:ind w:left="2936" w:hanging="420"/>
      </w:pPr>
      <w:rPr>
        <w:rFonts w:hint="default" w:ascii="Wingdings" w:hAnsi="Wingdings"/>
      </w:rPr>
    </w:lvl>
    <w:lvl w:ilvl="6" w:tentative="0">
      <w:start w:val="1"/>
      <w:numFmt w:val="bullet"/>
      <w:lvlText w:val=""/>
      <w:lvlJc w:val="left"/>
      <w:pPr>
        <w:ind w:left="3356" w:hanging="420"/>
      </w:pPr>
      <w:rPr>
        <w:rFonts w:hint="default" w:ascii="Wingdings" w:hAnsi="Wingdings"/>
      </w:rPr>
    </w:lvl>
    <w:lvl w:ilvl="7" w:tentative="0">
      <w:start w:val="1"/>
      <w:numFmt w:val="bullet"/>
      <w:lvlText w:val=""/>
      <w:lvlJc w:val="left"/>
      <w:pPr>
        <w:ind w:left="3776" w:hanging="420"/>
      </w:pPr>
      <w:rPr>
        <w:rFonts w:hint="default" w:ascii="Wingdings" w:hAnsi="Wingdings"/>
      </w:rPr>
    </w:lvl>
    <w:lvl w:ilvl="8" w:tentative="0">
      <w:start w:val="1"/>
      <w:numFmt w:val="bullet"/>
      <w:lvlText w:val=""/>
      <w:lvlJc w:val="left"/>
      <w:pPr>
        <w:ind w:left="4196"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NmOGIyOGJlZjZiNzU3YmU1MjQyYWNiNWZhMTFiNDAifQ=="/>
  </w:docVars>
  <w:rsids>
    <w:rsidRoot w:val="00EE39F4"/>
    <w:rsid w:val="001F3366"/>
    <w:rsid w:val="002113F0"/>
    <w:rsid w:val="002332D6"/>
    <w:rsid w:val="003610D2"/>
    <w:rsid w:val="00371F04"/>
    <w:rsid w:val="003D4F65"/>
    <w:rsid w:val="00410182"/>
    <w:rsid w:val="00450EFE"/>
    <w:rsid w:val="004675E3"/>
    <w:rsid w:val="00495FD5"/>
    <w:rsid w:val="00576E8E"/>
    <w:rsid w:val="0062694A"/>
    <w:rsid w:val="006317E9"/>
    <w:rsid w:val="006B0EDC"/>
    <w:rsid w:val="008A6629"/>
    <w:rsid w:val="008B10A0"/>
    <w:rsid w:val="00944E39"/>
    <w:rsid w:val="00992CA2"/>
    <w:rsid w:val="00A86CD8"/>
    <w:rsid w:val="00AC1310"/>
    <w:rsid w:val="00AE01DC"/>
    <w:rsid w:val="00B762BC"/>
    <w:rsid w:val="00BD13C5"/>
    <w:rsid w:val="00C81BB2"/>
    <w:rsid w:val="00CC5289"/>
    <w:rsid w:val="00D321D6"/>
    <w:rsid w:val="00D55459"/>
    <w:rsid w:val="00D75CB7"/>
    <w:rsid w:val="00DD41B3"/>
    <w:rsid w:val="00EE2B52"/>
    <w:rsid w:val="00EE39F4"/>
    <w:rsid w:val="0C796AAF"/>
    <w:rsid w:val="295235FD"/>
    <w:rsid w:val="728D6A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530</Words>
  <Characters>641</Characters>
  <Lines>4</Lines>
  <Paragraphs>1</Paragraphs>
  <TotalTime>19</TotalTime>
  <ScaleCrop>false</ScaleCrop>
  <LinksUpToDate>false</LinksUpToDate>
  <CharactersWithSpaces>646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2016-12-29T02:09:00Z</dcterms:created>
  <dc:creator>微软用户</dc:creator>
  <cp:lastModifiedBy>广东省临床检验中心</cp:lastModifiedBy>
  <dcterms:modified xsi:type="dcterms:W3CDTF">2026-02-27T06:51:30Z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94BCE917E4C1481587BC3CD22A8FE710_12</vt:lpwstr>
  </property>
  <property fmtid="{D5CDD505-2E9C-101B-9397-08002B2CF9AE}" pid="4" name="KSOTemplateDocerSaveRecord">
    <vt:lpwstr>eyJoZGlkIjoiZjMzYTEzNjA0MmM0YTIxM2FkZDdlMDU3NzI2MzQ0YzEiLCJ1c2VySWQiOiIzNjA0OTEwOTAifQ==</vt:lpwstr>
  </property>
</Properties>
</file>